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295E2" w14:textId="09CAF00C" w:rsidR="00A43F19" w:rsidRDefault="00C671AF">
      <w:r>
        <w:rPr>
          <w:noProof/>
          <w:lang w:val="en-US"/>
        </w:rPr>
        <w:drawing>
          <wp:anchor distT="0" distB="0" distL="114300" distR="114300" simplePos="0" relativeHeight="251658240" behindDoc="1" locked="0" layoutInCell="1" allowOverlap="1" wp14:anchorId="3B336A75" wp14:editId="58262881">
            <wp:simplePos x="0" y="0"/>
            <wp:positionH relativeFrom="column">
              <wp:posOffset>0</wp:posOffset>
            </wp:positionH>
            <wp:positionV relativeFrom="page">
              <wp:posOffset>393192</wp:posOffset>
            </wp:positionV>
            <wp:extent cx="5731510" cy="749935"/>
            <wp:effectExtent l="0" t="0" r="0" b="0"/>
            <wp:wrapNone/>
            <wp:docPr id="4" name="Picture 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749935"/>
                    </a:xfrm>
                    <a:prstGeom prst="rect">
                      <a:avLst/>
                    </a:prstGeom>
                  </pic:spPr>
                </pic:pic>
              </a:graphicData>
            </a:graphic>
            <wp14:sizeRelH relativeFrom="page">
              <wp14:pctWidth>0</wp14:pctWidth>
            </wp14:sizeRelH>
            <wp14:sizeRelV relativeFrom="page">
              <wp14:pctHeight>0</wp14:pctHeight>
            </wp14:sizeRelV>
          </wp:anchor>
        </w:drawing>
      </w:r>
    </w:p>
    <w:p w14:paraId="23A83056" w14:textId="190F5155" w:rsidR="00A43F19" w:rsidRDefault="00A43F19"/>
    <w:p w14:paraId="3A103433" w14:textId="419C18F8" w:rsidR="00A43F19" w:rsidRDefault="00A43F19"/>
    <w:p w14:paraId="51D40A8F" w14:textId="08729597" w:rsidR="00A43F19" w:rsidRDefault="00BD2B7A">
      <w:r w:rsidRPr="00DA2EB8">
        <w:rPr>
          <w:noProof/>
          <w:color w:val="DBEFF1" w:themeColor="accent4" w:themeTint="33"/>
          <w:lang w:val="en-US"/>
        </w:rPr>
        <mc:AlternateContent>
          <mc:Choice Requires="wps">
            <w:drawing>
              <wp:anchor distT="0" distB="0" distL="114300" distR="114300" simplePos="0" relativeHeight="251657215" behindDoc="1" locked="0" layoutInCell="1" allowOverlap="1" wp14:anchorId="2ED365B1" wp14:editId="1C6D17E3">
                <wp:simplePos x="0" y="0"/>
                <wp:positionH relativeFrom="column">
                  <wp:posOffset>-952500</wp:posOffset>
                </wp:positionH>
                <wp:positionV relativeFrom="paragraph">
                  <wp:posOffset>203835</wp:posOffset>
                </wp:positionV>
                <wp:extent cx="7594600" cy="8978900"/>
                <wp:effectExtent l="0" t="0" r="0" b="0"/>
                <wp:wrapNone/>
                <wp:docPr id="6" name="Rectangle 6"/>
                <wp:cNvGraphicFramePr/>
                <a:graphic xmlns:a="http://schemas.openxmlformats.org/drawingml/2006/main">
                  <a:graphicData uri="http://schemas.microsoft.com/office/word/2010/wordprocessingShape">
                    <wps:wsp>
                      <wps:cNvSpPr/>
                      <wps:spPr>
                        <a:xfrm>
                          <a:off x="0" y="0"/>
                          <a:ext cx="7594600" cy="8978900"/>
                        </a:xfrm>
                        <a:prstGeom prst="rect">
                          <a:avLst/>
                        </a:prstGeom>
                        <a:solidFill>
                          <a:schemeClr val="accent4">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254D02" id="Rectangle 6" o:spid="_x0000_s1026" style="position:absolute;margin-left:-75pt;margin-top:16.05pt;width:598pt;height:707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" fillcolor="#dbeff1 [663]" stroked="f" strokeweight="1pt"/>
            </w:pict>
          </mc:Fallback>
        </mc:AlternateContent>
      </w:r>
    </w:p>
    <w:p w14:paraId="530F47ED" w14:textId="240D77CE" w:rsidR="005410E9" w:rsidRDefault="005410E9">
      <w:pPr>
        <w:rPr>
          <w:b/>
          <w:bCs/>
          <w:sz w:val="144"/>
          <w:szCs w:val="144"/>
        </w:rPr>
      </w:pPr>
    </w:p>
    <w:p w14:paraId="2C5FA821" w14:textId="18CE2A47" w:rsidR="00235F7A" w:rsidRDefault="00235F7A">
      <w:pPr>
        <w:rPr>
          <w:b/>
          <w:bCs/>
          <w:color w:val="194869" w:themeColor="accent1"/>
          <w:sz w:val="96"/>
          <w:szCs w:val="96"/>
        </w:rPr>
      </w:pPr>
    </w:p>
    <w:p w14:paraId="5E986F59" w14:textId="4928BBBD" w:rsidR="00235F7A" w:rsidRDefault="00235F7A">
      <w:pPr>
        <w:rPr>
          <w:b/>
          <w:bCs/>
          <w:color w:val="194869" w:themeColor="accent1"/>
          <w:sz w:val="96"/>
          <w:szCs w:val="96"/>
        </w:rPr>
      </w:pPr>
    </w:p>
    <w:p w14:paraId="78BD709E" w14:textId="3D2E9624" w:rsidR="00235F7A" w:rsidRDefault="00235F7A">
      <w:pPr>
        <w:rPr>
          <w:b/>
          <w:bCs/>
          <w:color w:val="194869" w:themeColor="accent1"/>
          <w:sz w:val="96"/>
          <w:szCs w:val="96"/>
        </w:rPr>
      </w:pPr>
    </w:p>
    <w:p w14:paraId="1FA904AE" w14:textId="7B51D9D7" w:rsidR="00235F7A" w:rsidRDefault="00235F7A">
      <w:pPr>
        <w:rPr>
          <w:b/>
          <w:bCs/>
          <w:color w:val="194869" w:themeColor="accent1"/>
          <w:sz w:val="96"/>
          <w:szCs w:val="96"/>
        </w:rPr>
      </w:pPr>
    </w:p>
    <w:p w14:paraId="6857F9E3" w14:textId="110ACD6F" w:rsidR="004646E9" w:rsidRPr="004646E9" w:rsidRDefault="00C45F55" w:rsidP="009E4EB3">
      <w:pPr>
        <w:rPr>
          <w:b/>
          <w:bCs/>
          <w:color w:val="194869" w:themeColor="accent1"/>
          <w:sz w:val="72"/>
          <w:szCs w:val="96"/>
        </w:rPr>
      </w:pPr>
      <w:r w:rsidRPr="00C45F55">
        <w:rPr>
          <w:b/>
          <w:bCs/>
          <w:color w:val="194869" w:themeColor="accent1"/>
          <w:sz w:val="72"/>
          <w:szCs w:val="96"/>
        </w:rPr>
        <w:t>SDG 6.5.1 Stakeholder Consultation Manual</w:t>
      </w:r>
    </w:p>
    <w:p w14:paraId="062C7CED" w14:textId="3FDAF0D7" w:rsidR="00844946" w:rsidRPr="000753E2" w:rsidRDefault="00844946">
      <w:pPr>
        <w:rPr>
          <w:color w:val="FFFFFF" w:themeColor="background1"/>
          <w:sz w:val="28"/>
          <w:szCs w:val="28"/>
        </w:rPr>
      </w:pPr>
    </w:p>
    <w:p w14:paraId="5A8BF614" w14:textId="1A6D36AC" w:rsidR="00844946" w:rsidRPr="000753E2" w:rsidRDefault="00844946">
      <w:pPr>
        <w:rPr>
          <w:color w:val="FFFFFF" w:themeColor="background1"/>
          <w:sz w:val="28"/>
          <w:szCs w:val="28"/>
        </w:rPr>
      </w:pPr>
    </w:p>
    <w:p w14:paraId="55F545EF" w14:textId="35B3055E" w:rsidR="00A43F19" w:rsidRDefault="00A43F19">
      <w:pPr>
        <w:rPr>
          <w:color w:val="4698D3" w:themeColor="accent1" w:themeTint="99"/>
          <w:sz w:val="28"/>
          <w:szCs w:val="28"/>
        </w:rPr>
      </w:pPr>
    </w:p>
    <w:p w14:paraId="71EAD197" w14:textId="1573F2C8" w:rsidR="00B0219D" w:rsidRDefault="00B0219D">
      <w:pPr>
        <w:rPr>
          <w:color w:val="4698D3" w:themeColor="accent1" w:themeTint="99"/>
          <w:sz w:val="28"/>
          <w:szCs w:val="28"/>
        </w:rPr>
      </w:pPr>
    </w:p>
    <w:p w14:paraId="7E665D9F" w14:textId="617DBA9D" w:rsidR="00B0219D" w:rsidRDefault="00B0219D">
      <w:pPr>
        <w:rPr>
          <w:color w:val="4698D3" w:themeColor="accent1" w:themeTint="99"/>
          <w:sz w:val="28"/>
          <w:szCs w:val="28"/>
        </w:rPr>
      </w:pPr>
    </w:p>
    <w:p w14:paraId="5806E812" w14:textId="534F4B6D" w:rsidR="009819C7" w:rsidRPr="00235F7A" w:rsidRDefault="009819C7">
      <w:pPr>
        <w:rPr>
          <w:color w:val="4698D3" w:themeColor="accent1" w:themeTint="99"/>
          <w:sz w:val="28"/>
          <w:szCs w:val="28"/>
        </w:rPr>
      </w:pPr>
      <w:r>
        <w:rPr>
          <w:sz w:val="52"/>
          <w:szCs w:val="52"/>
        </w:rPr>
        <w:br w:type="page"/>
      </w:r>
    </w:p>
    <w:p w14:paraId="38F10606" w14:textId="6BD03239" w:rsidR="004646E9" w:rsidRDefault="00970943" w:rsidP="00FA42CA">
      <w:pPr>
        <w:pStyle w:val="Heading1"/>
        <w:numPr>
          <w:ilvl w:val="0"/>
          <w:numId w:val="2"/>
        </w:numPr>
        <w:jc w:val="both"/>
      </w:pPr>
      <w:r>
        <w:lastRenderedPageBreak/>
        <w:t xml:space="preserve"> </w:t>
      </w:r>
      <w:r w:rsidR="00C45F55" w:rsidRPr="00C45F55">
        <w:t>Background and purpose of this document</w:t>
      </w:r>
    </w:p>
    <w:p w14:paraId="1C904203" w14:textId="4A4A360F" w:rsidR="00C45F55" w:rsidRPr="00EB3205" w:rsidRDefault="00C45F55" w:rsidP="00C45F55">
      <w:pPr>
        <w:pStyle w:val="Body"/>
        <w:jc w:val="both"/>
        <w:rPr>
          <w:rFonts w:ascii="Calibri" w:hAnsi="Calibri" w:cs="Calibri"/>
          <w:lang w:val="en-GB"/>
        </w:rPr>
      </w:pPr>
      <w:r w:rsidRPr="00EB3205">
        <w:rPr>
          <w:lang w:val="en-GB"/>
        </w:rPr>
        <w:t xml:space="preserve">This </w:t>
      </w:r>
      <w:r w:rsidRPr="00B43204">
        <w:rPr>
          <w:b/>
          <w:bCs/>
          <w:lang w:val="en-GB"/>
        </w:rPr>
        <w:t>SDG 6.5.1 Stakeholder Consultation Manual</w:t>
      </w:r>
      <w:r w:rsidRPr="00EB3205">
        <w:rPr>
          <w:lang w:val="en-GB"/>
        </w:rPr>
        <w:t xml:space="preserve"> provides guidance and tools to conduct multi-stakeholder processes to complete the </w:t>
      </w:r>
      <w:hyperlink r:id="rId12" w:history="1">
        <w:r w:rsidRPr="00C45F55">
          <w:rPr>
            <w:rStyle w:val="Hyperlink"/>
            <w:rFonts w:eastAsiaTheme="minorEastAsia"/>
            <w:lang w:val="en-GB"/>
          </w:rPr>
          <w:t>SDG indicator 6.5.1 survey</w:t>
        </w:r>
      </w:hyperlink>
      <w:r w:rsidRPr="00EB3205">
        <w:rPr>
          <w:lang w:val="en-GB"/>
        </w:rPr>
        <w:t>.</w:t>
      </w:r>
      <w:r w:rsidRPr="00C45F55">
        <w:rPr>
          <w:rStyle w:val="eop"/>
          <w:rFonts w:eastAsiaTheme="minorEastAsia"/>
          <w:lang w:val="en-GB"/>
        </w:rPr>
        <w:t xml:space="preserve"> </w:t>
      </w:r>
      <w:r w:rsidRPr="00EB3205">
        <w:rPr>
          <w:lang w:val="en-GB"/>
        </w:rPr>
        <w:t>It is a guide for SDG indicator 6.5.1 Focal Points and those supporting them in reporting on that indicator</w:t>
      </w:r>
      <w:r w:rsidRPr="00EB3205">
        <w:rPr>
          <w:rFonts w:ascii="Calibri" w:hAnsi="Calibri" w:cs="Calibri"/>
          <w:lang w:val="en-GB"/>
        </w:rPr>
        <w:t>.</w:t>
      </w:r>
    </w:p>
    <w:p w14:paraId="65413984" w14:textId="77777777" w:rsidR="00C45F55" w:rsidRPr="00EB3205" w:rsidRDefault="00C45F55" w:rsidP="00C45F55">
      <w:pPr>
        <w:pStyle w:val="Body"/>
        <w:jc w:val="both"/>
        <w:rPr>
          <w:lang w:val="en-GB"/>
        </w:rPr>
      </w:pPr>
      <w:r w:rsidRPr="00EB3205">
        <w:rPr>
          <w:lang w:val="en-GB"/>
        </w:rPr>
        <w:t>The SDG 6.5.1 Focal Point has responsibility for coordinating inputs from different stakeholders to help complete the survey</w:t>
      </w:r>
      <w:r>
        <w:rPr>
          <w:rStyle w:val="FootnoteReference"/>
          <w:rFonts w:eastAsiaTheme="minorEastAsia"/>
          <w:lang w:val="en-GB"/>
        </w:rPr>
        <w:footnoteReference w:id="1"/>
      </w:r>
      <w:r w:rsidRPr="00EB3205">
        <w:rPr>
          <w:lang w:val="en-GB"/>
        </w:rPr>
        <w:t>. Broad stakeholder participation in reporting on SDG 6.5.1 makes the completed survey a more robust and useful diagnostic tool for further discussions and planning.</w:t>
      </w:r>
    </w:p>
    <w:p w14:paraId="3700A229" w14:textId="7AA11A4E" w:rsidR="004646E9" w:rsidRPr="00EB3205" w:rsidRDefault="00C45F55" w:rsidP="00C45F55">
      <w:pPr>
        <w:pStyle w:val="Body"/>
        <w:jc w:val="both"/>
        <w:rPr>
          <w:rFonts w:ascii="Times New Roman" w:hAnsi="Times New Roman" w:cs="Times New Roman"/>
          <w:lang w:val="en-GB"/>
        </w:rPr>
      </w:pPr>
      <w:r w:rsidRPr="00EB3205">
        <w:rPr>
          <w:lang w:val="en-GB"/>
        </w:rPr>
        <w:t xml:space="preserve">Countries can request technical/financial assistance to facilitate the multi-stakeholder consultation process through the </w:t>
      </w:r>
      <w:hyperlink r:id="rId13" w:history="1">
        <w:r w:rsidRPr="00C45F55">
          <w:rPr>
            <w:rStyle w:val="Hyperlink"/>
            <w:rFonts w:eastAsiaTheme="minorEastAsia"/>
            <w:b/>
            <w:bCs/>
            <w:lang w:val="en-GB"/>
          </w:rPr>
          <w:t>SDG 6 IWRM Support Programme</w:t>
        </w:r>
      </w:hyperlink>
      <w:r w:rsidRPr="00EB3205">
        <w:rPr>
          <w:lang w:val="en-GB"/>
        </w:rPr>
        <w:t>. The SDG 6.5.1 Focal Points can request such support via the Support Programme (</w:t>
      </w:r>
      <w:hyperlink r:id="rId14" w:history="1">
        <w:r w:rsidRPr="00B648A5">
          <w:rPr>
            <w:rStyle w:val="Hyperlink"/>
            <w:rFonts w:eastAsiaTheme="minorEastAsia"/>
            <w:lang w:val="en-GB"/>
          </w:rPr>
          <w:t>sdg6iwrmsp@gwp.org</w:t>
        </w:r>
      </w:hyperlink>
      <w:r w:rsidRPr="00EB3205">
        <w:rPr>
          <w:lang w:val="en-GB"/>
        </w:rPr>
        <w:t>) or via the SDG 6.5.1 Help Desk (</w:t>
      </w:r>
      <w:hyperlink r:id="rId15" w:history="1">
        <w:r w:rsidRPr="00B648A5">
          <w:rPr>
            <w:rStyle w:val="Hyperlink"/>
            <w:rFonts w:eastAsiaTheme="minorEastAsia"/>
          </w:rPr>
          <w:t>iwrmsdg651</w:t>
        </w:r>
        <w:r w:rsidRPr="00B648A5">
          <w:rPr>
            <w:rStyle w:val="Hyperlink"/>
            <w:rFonts w:eastAsiaTheme="minorEastAsia"/>
            <w:lang w:val="en-GB"/>
          </w:rPr>
          <w:t>@</w:t>
        </w:r>
        <w:r w:rsidRPr="00B648A5">
          <w:rPr>
            <w:rStyle w:val="Hyperlink"/>
            <w:rFonts w:eastAsiaTheme="minorEastAsia"/>
          </w:rPr>
          <w:t>un.org</w:t>
        </w:r>
      </w:hyperlink>
      <w:r w:rsidRPr="00EB3205">
        <w:rPr>
          <w:lang w:val="en-GB"/>
        </w:rPr>
        <w:t>)</w:t>
      </w:r>
      <w:r w:rsidR="004646E9" w:rsidRPr="00EB3205">
        <w:rPr>
          <w:rFonts w:cstheme="minorHAnsi"/>
          <w:lang w:val="en-GB"/>
        </w:rPr>
        <w:t xml:space="preserve">. </w:t>
      </w:r>
    </w:p>
    <w:tbl>
      <w:tblPr>
        <w:tblStyle w:val="GridTable1Light-Accent5"/>
        <w:tblW w:w="8995" w:type="dxa"/>
        <w:tblInd w:w="0" w:type="dxa"/>
        <w:tblBorders>
          <w:top w:val="single" w:sz="4" w:space="0" w:color="ACB9CA"/>
          <w:left w:val="single" w:sz="4" w:space="0" w:color="ACB9CA"/>
          <w:bottom w:val="single" w:sz="4" w:space="0" w:color="ACB9CA"/>
          <w:right w:val="single" w:sz="4" w:space="0" w:color="ACB9CA"/>
          <w:insideH w:val="single" w:sz="4" w:space="0" w:color="ACB9CA"/>
          <w:insideV w:val="single" w:sz="4" w:space="0" w:color="ACB9CA"/>
        </w:tblBorders>
        <w:tblLayout w:type="fixed"/>
        <w:tblLook w:val="04A0" w:firstRow="1" w:lastRow="0" w:firstColumn="1" w:lastColumn="0" w:noHBand="0" w:noVBand="1"/>
      </w:tblPr>
      <w:tblGrid>
        <w:gridCol w:w="8995"/>
      </w:tblGrid>
      <w:tr w:rsidR="00C45F55" w14:paraId="74E9982B" w14:textId="77777777" w:rsidTr="004903EE">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995" w:type="dxa"/>
            <w:tcBorders>
              <w:bottom w:val="none" w:sz="0" w:space="0" w:color="auto"/>
            </w:tcBorders>
            <w:shd w:val="clear" w:color="auto" w:fill="194869" w:themeFill="accent1"/>
            <w:hideMark/>
          </w:tcPr>
          <w:p w14:paraId="14073E31" w14:textId="77777777" w:rsidR="00C45F55" w:rsidRPr="00C9543D" w:rsidRDefault="00C45F55">
            <w:pPr>
              <w:rPr>
                <w:rFonts w:ascii="Calibri" w:eastAsia="Calibri" w:hAnsi="Calibri" w:cs="Calibri"/>
                <w:color w:val="FFFFFF" w:themeColor="background1"/>
                <w:sz w:val="24"/>
                <w:szCs w:val="24"/>
                <w:lang w:val="en-GB"/>
              </w:rPr>
            </w:pPr>
            <w:r w:rsidRPr="00C9543D">
              <w:rPr>
                <w:rStyle w:val="normaltextrun"/>
                <w:rFonts w:ascii="Calibri" w:eastAsia="Calibri" w:hAnsi="Calibri" w:cs="Calibri"/>
                <w:color w:val="FFFFFF" w:themeColor="background1"/>
                <w:sz w:val="24"/>
                <w:szCs w:val="24"/>
                <w:lang w:val="en-GB"/>
              </w:rPr>
              <w:t>The structure of this guide</w:t>
            </w:r>
          </w:p>
        </w:tc>
      </w:tr>
      <w:tr w:rsidR="00C45F55" w14:paraId="79C016B5" w14:textId="77777777" w:rsidTr="004903EE">
        <w:trPr>
          <w:trHeight w:val="288"/>
        </w:trPr>
        <w:tc>
          <w:tcPr>
            <w:cnfStyle w:val="001000000000" w:firstRow="0" w:lastRow="0" w:firstColumn="1" w:lastColumn="0" w:oddVBand="0" w:evenVBand="0" w:oddHBand="0" w:evenHBand="0" w:firstRowFirstColumn="0" w:firstRowLastColumn="0" w:lastRowFirstColumn="0" w:lastRowLastColumn="0"/>
            <w:tcW w:w="8995" w:type="dxa"/>
            <w:hideMark/>
          </w:tcPr>
          <w:p w14:paraId="407F9691" w14:textId="77777777" w:rsidR="00C45F55" w:rsidRPr="00C45F55" w:rsidRDefault="00C45F55">
            <w:pPr>
              <w:rPr>
                <w:rStyle w:val="normaltextrun"/>
                <w:color w:val="12354E" w:themeColor="accent1" w:themeShade="BF"/>
                <w:sz w:val="24"/>
              </w:rPr>
            </w:pPr>
            <w:r w:rsidRPr="00C45F55">
              <w:rPr>
                <w:rStyle w:val="normaltextrun"/>
                <w:rFonts w:ascii="Calibri" w:eastAsia="Calibri" w:hAnsi="Calibri" w:cs="Calibri"/>
                <w:b w:val="0"/>
                <w:bCs w:val="0"/>
                <w:color w:val="12354E" w:themeColor="accent1" w:themeShade="BF"/>
                <w:sz w:val="24"/>
                <w:szCs w:val="20"/>
                <w:lang w:val="en-GB"/>
              </w:rPr>
              <w:t>Section 1: Background and purpose of this document</w:t>
            </w:r>
          </w:p>
        </w:tc>
      </w:tr>
      <w:tr w:rsidR="00C45F55" w14:paraId="3F31B48B" w14:textId="77777777" w:rsidTr="004903EE">
        <w:trPr>
          <w:trHeight w:val="288"/>
        </w:trPr>
        <w:tc>
          <w:tcPr>
            <w:cnfStyle w:val="001000000000" w:firstRow="0" w:lastRow="0" w:firstColumn="1" w:lastColumn="0" w:oddVBand="0" w:evenVBand="0" w:oddHBand="0" w:evenHBand="0" w:firstRowFirstColumn="0" w:firstRowLastColumn="0" w:lastRowFirstColumn="0" w:lastRowLastColumn="0"/>
            <w:tcW w:w="8995" w:type="dxa"/>
            <w:hideMark/>
          </w:tcPr>
          <w:p w14:paraId="59341C62" w14:textId="77777777" w:rsidR="00C45F55" w:rsidRPr="00C45F55" w:rsidRDefault="00C45F55">
            <w:pPr>
              <w:rPr>
                <w:rStyle w:val="normaltextrun"/>
                <w:rFonts w:ascii="Calibri" w:eastAsia="Calibri" w:hAnsi="Calibri" w:cs="Calibri"/>
                <w:color w:val="12354E" w:themeColor="accent1" w:themeShade="BF"/>
                <w:sz w:val="24"/>
                <w:szCs w:val="20"/>
                <w:lang w:val="en-GB"/>
              </w:rPr>
            </w:pPr>
            <w:r w:rsidRPr="00C45F55">
              <w:rPr>
                <w:rStyle w:val="normaltextrun"/>
                <w:rFonts w:ascii="Calibri" w:eastAsia="Calibri" w:hAnsi="Calibri" w:cs="Calibri"/>
                <w:b w:val="0"/>
                <w:bCs w:val="0"/>
                <w:color w:val="12354E" w:themeColor="accent1" w:themeShade="BF"/>
                <w:sz w:val="24"/>
                <w:szCs w:val="20"/>
                <w:lang w:val="en-GB"/>
              </w:rPr>
              <w:t>Section 2: Stakeholder engagement</w:t>
            </w:r>
          </w:p>
        </w:tc>
      </w:tr>
      <w:tr w:rsidR="00C45F55" w14:paraId="0FD278E9" w14:textId="77777777" w:rsidTr="004903EE">
        <w:trPr>
          <w:trHeight w:val="288"/>
        </w:trPr>
        <w:tc>
          <w:tcPr>
            <w:cnfStyle w:val="001000000000" w:firstRow="0" w:lastRow="0" w:firstColumn="1" w:lastColumn="0" w:oddVBand="0" w:evenVBand="0" w:oddHBand="0" w:evenHBand="0" w:firstRowFirstColumn="0" w:firstRowLastColumn="0" w:lastRowFirstColumn="0" w:lastRowLastColumn="0"/>
            <w:tcW w:w="8995" w:type="dxa"/>
            <w:hideMark/>
          </w:tcPr>
          <w:p w14:paraId="70E80346" w14:textId="77777777" w:rsidR="00C45F55" w:rsidRPr="00C45F55" w:rsidRDefault="00C45F55">
            <w:pPr>
              <w:rPr>
                <w:rStyle w:val="normaltextrun"/>
                <w:rFonts w:ascii="Calibri" w:eastAsia="Calibri" w:hAnsi="Calibri" w:cs="Calibri"/>
                <w:color w:val="12354E" w:themeColor="accent1" w:themeShade="BF"/>
                <w:sz w:val="24"/>
                <w:szCs w:val="20"/>
                <w:lang w:val="en-GB"/>
              </w:rPr>
            </w:pPr>
            <w:r w:rsidRPr="00C45F55">
              <w:rPr>
                <w:rStyle w:val="normaltextrun"/>
                <w:rFonts w:ascii="Calibri" w:eastAsia="Calibri" w:hAnsi="Calibri" w:cs="Calibri"/>
                <w:b w:val="0"/>
                <w:bCs w:val="0"/>
                <w:color w:val="12354E" w:themeColor="accent1" w:themeShade="BF"/>
                <w:sz w:val="24"/>
                <w:szCs w:val="20"/>
                <w:lang w:val="en-GB"/>
              </w:rPr>
              <w:t>Section 3: Suggested consultation process</w:t>
            </w:r>
          </w:p>
        </w:tc>
      </w:tr>
      <w:tr w:rsidR="00C45F55" w14:paraId="6702AE64" w14:textId="77777777" w:rsidTr="004903EE">
        <w:trPr>
          <w:trHeight w:val="288"/>
        </w:trPr>
        <w:tc>
          <w:tcPr>
            <w:cnfStyle w:val="001000000000" w:firstRow="0" w:lastRow="0" w:firstColumn="1" w:lastColumn="0" w:oddVBand="0" w:evenVBand="0" w:oddHBand="0" w:evenHBand="0" w:firstRowFirstColumn="0" w:firstRowLastColumn="0" w:lastRowFirstColumn="0" w:lastRowLastColumn="0"/>
            <w:tcW w:w="8995" w:type="dxa"/>
            <w:hideMark/>
          </w:tcPr>
          <w:p w14:paraId="18754C74" w14:textId="77777777" w:rsidR="00C45F55" w:rsidRPr="00C45F55" w:rsidRDefault="00C45F55">
            <w:pPr>
              <w:ind w:left="720"/>
              <w:rPr>
                <w:rStyle w:val="normaltextrun"/>
                <w:rFonts w:ascii="Calibri" w:eastAsia="Calibri" w:hAnsi="Calibri" w:cs="Calibri"/>
                <w:color w:val="12354E" w:themeColor="accent1" w:themeShade="BF"/>
                <w:sz w:val="24"/>
                <w:szCs w:val="20"/>
                <w:lang w:val="en-GB"/>
              </w:rPr>
            </w:pPr>
            <w:r w:rsidRPr="00C45F55">
              <w:rPr>
                <w:rStyle w:val="normaltextrun"/>
                <w:rFonts w:ascii="Calibri" w:eastAsia="Calibri" w:hAnsi="Calibri" w:cs="Calibri"/>
                <w:b w:val="0"/>
                <w:color w:val="12354E" w:themeColor="accent1" w:themeShade="BF"/>
                <w:sz w:val="24"/>
                <w:szCs w:val="20"/>
                <w:lang w:val="en-GB"/>
              </w:rPr>
              <w:t>Annex 1: Online IWRM Survey Tool</w:t>
            </w:r>
          </w:p>
        </w:tc>
      </w:tr>
      <w:tr w:rsidR="00C45F55" w14:paraId="4921DEA1" w14:textId="77777777" w:rsidTr="004903EE">
        <w:trPr>
          <w:trHeight w:val="288"/>
        </w:trPr>
        <w:tc>
          <w:tcPr>
            <w:cnfStyle w:val="001000000000" w:firstRow="0" w:lastRow="0" w:firstColumn="1" w:lastColumn="0" w:oddVBand="0" w:evenVBand="0" w:oddHBand="0" w:evenHBand="0" w:firstRowFirstColumn="0" w:firstRowLastColumn="0" w:lastRowFirstColumn="0" w:lastRowLastColumn="0"/>
            <w:tcW w:w="8995" w:type="dxa"/>
            <w:hideMark/>
          </w:tcPr>
          <w:p w14:paraId="6CE931A1" w14:textId="77777777" w:rsidR="00C45F55" w:rsidRPr="00C45F55" w:rsidRDefault="00C45F55">
            <w:pPr>
              <w:ind w:left="720"/>
              <w:rPr>
                <w:rStyle w:val="normaltextrun"/>
                <w:rFonts w:ascii="Calibri" w:eastAsia="Calibri" w:hAnsi="Calibri" w:cs="Calibri"/>
                <w:color w:val="12354E" w:themeColor="accent1" w:themeShade="BF"/>
                <w:sz w:val="24"/>
                <w:szCs w:val="20"/>
                <w:lang w:val="en-GB"/>
              </w:rPr>
            </w:pPr>
            <w:r w:rsidRPr="00C45F55">
              <w:rPr>
                <w:rStyle w:val="normaltextrun"/>
                <w:rFonts w:ascii="Calibri" w:eastAsia="Calibri" w:hAnsi="Calibri" w:cs="Calibri"/>
                <w:b w:val="0"/>
                <w:bCs w:val="0"/>
                <w:color w:val="12354E" w:themeColor="accent1" w:themeShade="BF"/>
                <w:sz w:val="24"/>
                <w:szCs w:val="20"/>
                <w:lang w:val="en-GB"/>
              </w:rPr>
              <w:t>Annex 2: Example of Consultation Workshop Agenda</w:t>
            </w:r>
          </w:p>
        </w:tc>
      </w:tr>
      <w:tr w:rsidR="00C45F55" w14:paraId="04BF7592" w14:textId="77777777" w:rsidTr="004903EE">
        <w:trPr>
          <w:trHeight w:val="288"/>
        </w:trPr>
        <w:tc>
          <w:tcPr>
            <w:cnfStyle w:val="001000000000" w:firstRow="0" w:lastRow="0" w:firstColumn="1" w:lastColumn="0" w:oddVBand="0" w:evenVBand="0" w:oddHBand="0" w:evenHBand="0" w:firstRowFirstColumn="0" w:firstRowLastColumn="0" w:lastRowFirstColumn="0" w:lastRowLastColumn="0"/>
            <w:tcW w:w="8995" w:type="dxa"/>
            <w:hideMark/>
          </w:tcPr>
          <w:p w14:paraId="3366AB1E" w14:textId="77777777" w:rsidR="00C45F55" w:rsidRPr="00C45F55" w:rsidRDefault="00C45F55">
            <w:pPr>
              <w:ind w:left="720"/>
              <w:rPr>
                <w:b w:val="0"/>
                <w:bCs w:val="0"/>
                <w:color w:val="12354E" w:themeColor="accent1" w:themeShade="BF"/>
                <w:sz w:val="24"/>
              </w:rPr>
            </w:pPr>
            <w:r w:rsidRPr="00C45F55">
              <w:rPr>
                <w:rStyle w:val="normaltextrun"/>
                <w:rFonts w:ascii="Calibri" w:eastAsia="Calibri" w:hAnsi="Calibri" w:cs="Calibri"/>
                <w:b w:val="0"/>
                <w:bCs w:val="0"/>
                <w:color w:val="12354E" w:themeColor="accent1" w:themeShade="BF"/>
                <w:sz w:val="24"/>
                <w:szCs w:val="20"/>
                <w:lang w:val="en-GB"/>
              </w:rPr>
              <w:t>Annex 3: Optional Consultation Report template</w:t>
            </w:r>
          </w:p>
        </w:tc>
      </w:tr>
      <w:tr w:rsidR="00C45F55" w14:paraId="74991A70" w14:textId="77777777" w:rsidTr="004903EE">
        <w:trPr>
          <w:trHeight w:val="288"/>
        </w:trPr>
        <w:tc>
          <w:tcPr>
            <w:cnfStyle w:val="001000000000" w:firstRow="0" w:lastRow="0" w:firstColumn="1" w:lastColumn="0" w:oddVBand="0" w:evenVBand="0" w:oddHBand="0" w:evenHBand="0" w:firstRowFirstColumn="0" w:firstRowLastColumn="0" w:lastRowFirstColumn="0" w:lastRowLastColumn="0"/>
            <w:tcW w:w="8995" w:type="dxa"/>
            <w:hideMark/>
          </w:tcPr>
          <w:p w14:paraId="400E0315" w14:textId="77777777" w:rsidR="00C45F55" w:rsidRPr="00C45F55" w:rsidRDefault="00C45F55">
            <w:pPr>
              <w:ind w:left="720"/>
              <w:rPr>
                <w:rStyle w:val="normaltextrun"/>
                <w:color w:val="12354E" w:themeColor="accent1" w:themeShade="BF"/>
                <w:sz w:val="24"/>
              </w:rPr>
            </w:pPr>
            <w:r w:rsidRPr="00C45F55">
              <w:rPr>
                <w:rStyle w:val="normaltextrun"/>
                <w:rFonts w:ascii="Calibri" w:eastAsia="Calibri" w:hAnsi="Calibri" w:cs="Calibri"/>
                <w:b w:val="0"/>
                <w:bCs w:val="0"/>
                <w:color w:val="12354E" w:themeColor="accent1" w:themeShade="BF"/>
                <w:sz w:val="24"/>
                <w:szCs w:val="20"/>
                <w:lang w:val="en-GB"/>
              </w:rPr>
              <w:t>Annex 4: Facilitator's Terms of Reference template</w:t>
            </w:r>
          </w:p>
        </w:tc>
      </w:tr>
    </w:tbl>
    <w:p w14:paraId="62982642" w14:textId="77777777" w:rsidR="00C9543D" w:rsidRDefault="00C9543D" w:rsidP="00450569">
      <w:pPr>
        <w:pStyle w:val="Body"/>
        <w:jc w:val="both"/>
        <w:rPr>
          <w:rStyle w:val="normaltextrun"/>
          <w:rFonts w:eastAsiaTheme="minorEastAsia"/>
          <w:lang w:val="en-GB"/>
        </w:rPr>
      </w:pPr>
    </w:p>
    <w:p w14:paraId="670BB2BE" w14:textId="3361E94F" w:rsidR="00C45F55" w:rsidRPr="00EB3205" w:rsidRDefault="00C45F55" w:rsidP="00450569">
      <w:pPr>
        <w:pStyle w:val="Body"/>
        <w:jc w:val="both"/>
        <w:rPr>
          <w:rFonts w:cstheme="minorHAnsi"/>
          <w:lang w:val="en-GB"/>
        </w:rPr>
      </w:pPr>
      <w:r>
        <w:rPr>
          <w:rStyle w:val="normaltextrun"/>
          <w:rFonts w:eastAsiaTheme="minorEastAsia"/>
          <w:lang w:val="en-GB"/>
        </w:rPr>
        <w:t xml:space="preserve">This document is one of several supporting materials available for the reporting process on SDG indicator 6.5.1. The full overview of all supporting materials, including direct links to respective language versions, is available on the </w:t>
      </w:r>
      <w:hyperlink r:id="rId16" w:history="1">
        <w:r>
          <w:rPr>
            <w:rStyle w:val="Hyperlink"/>
            <w:rFonts w:eastAsiaTheme="minorEastAsia"/>
            <w:lang w:val="en-GB"/>
          </w:rPr>
          <w:t>IWRM Data Portal</w:t>
        </w:r>
      </w:hyperlink>
      <w:r>
        <w:rPr>
          <w:rStyle w:val="normaltextrun"/>
          <w:rFonts w:eastAsiaTheme="minorEastAsia"/>
          <w:lang w:val="en-GB"/>
        </w:rPr>
        <w:t>.</w:t>
      </w:r>
    </w:p>
    <w:p w14:paraId="12D9A771" w14:textId="393907DB" w:rsidR="004646E9" w:rsidRDefault="00970943" w:rsidP="00FA42CA">
      <w:pPr>
        <w:pStyle w:val="Heading1"/>
        <w:numPr>
          <w:ilvl w:val="0"/>
          <w:numId w:val="2"/>
        </w:numPr>
        <w:jc w:val="both"/>
      </w:pPr>
      <w:r>
        <w:t xml:space="preserve"> </w:t>
      </w:r>
      <w:r w:rsidR="00C45F55">
        <w:t>Stakeholder engagement</w:t>
      </w:r>
    </w:p>
    <w:p w14:paraId="5C9C6169" w14:textId="54AD8028" w:rsidR="00C45F55" w:rsidRPr="00EB3205" w:rsidRDefault="00C45F55" w:rsidP="00C45F55">
      <w:pPr>
        <w:pStyle w:val="Body"/>
        <w:jc w:val="both"/>
        <w:rPr>
          <w:rStyle w:val="normaltextrun"/>
          <w:lang w:val="en-GB"/>
        </w:rPr>
      </w:pPr>
      <w:r w:rsidRPr="00EB3205">
        <w:rPr>
          <w:rStyle w:val="normaltextrun"/>
          <w:lang w:val="en-GB"/>
        </w:rPr>
        <w:t xml:space="preserve">Multi-stakeholder participation is embedded within the basic definitions of IWRM, as one of the 1992 Dublin-Rio Principles. It is imperative that the stakeholders whose decisions affect coordinated development and management of water, land and related resources be brought together in an open and constructive dialogue.  </w:t>
      </w:r>
    </w:p>
    <w:p w14:paraId="4C2C5FDC" w14:textId="7651F3E0" w:rsidR="00450569" w:rsidRPr="00EB3205" w:rsidRDefault="00C45F55" w:rsidP="00C45F55">
      <w:pPr>
        <w:pStyle w:val="Body"/>
        <w:jc w:val="both"/>
        <w:rPr>
          <w:rStyle w:val="normaltextrun"/>
          <w:lang w:val="en-GB"/>
        </w:rPr>
      </w:pPr>
      <w:r w:rsidRPr="00EB3205">
        <w:rPr>
          <w:rStyle w:val="normaltextrun"/>
          <w:lang w:val="en-GB"/>
        </w:rPr>
        <w:t>With the objective of ensuring a representative, balanced and consensual national survey submission, SDG 6.5.1 Focal Points are encouraged to include stakeholders from different sectors and levels as participants in the consultation process for SDG 6.5.1 monitoring. The following table provides an overview of different stakeholder groups that could be invited to the consultation process</w:t>
      </w:r>
      <w:r w:rsidR="00450569" w:rsidRPr="00EB3205">
        <w:rPr>
          <w:rStyle w:val="normaltextrun"/>
          <w:lang w:val="en-GB"/>
        </w:rPr>
        <w:t xml:space="preserve">. </w:t>
      </w:r>
    </w:p>
    <w:tbl>
      <w:tblPr>
        <w:tblStyle w:val="GridTable1Light-Accent1"/>
        <w:tblW w:w="0" w:type="auto"/>
        <w:tblInd w:w="0" w:type="dxa"/>
        <w:tblBorders>
          <w:top w:val="single" w:sz="4" w:space="0" w:color="ACB9CA"/>
          <w:left w:val="single" w:sz="4" w:space="0" w:color="ACB9CA"/>
          <w:bottom w:val="single" w:sz="4" w:space="0" w:color="ACB9CA"/>
          <w:right w:val="single" w:sz="4" w:space="0" w:color="ACB9CA"/>
          <w:insideH w:val="single" w:sz="4" w:space="0" w:color="ACB9CA"/>
          <w:insideV w:val="single" w:sz="4" w:space="0" w:color="ACB9CA"/>
        </w:tblBorders>
        <w:tblLook w:val="04A0" w:firstRow="1" w:lastRow="0" w:firstColumn="1" w:lastColumn="0" w:noHBand="0" w:noVBand="1"/>
      </w:tblPr>
      <w:tblGrid>
        <w:gridCol w:w="2173"/>
        <w:gridCol w:w="6843"/>
      </w:tblGrid>
      <w:tr w:rsidR="002A0CCF" w14:paraId="0D839476" w14:textId="77777777" w:rsidTr="5F7EDD9A">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73" w:type="dxa"/>
            <w:tcBorders>
              <w:bottom w:val="none" w:sz="0" w:space="0" w:color="auto"/>
            </w:tcBorders>
            <w:shd w:val="clear" w:color="auto" w:fill="194869" w:themeFill="accent1"/>
            <w:hideMark/>
          </w:tcPr>
          <w:p w14:paraId="4B9298E9" w14:textId="77777777" w:rsidR="002A0CCF" w:rsidRPr="004903EE" w:rsidRDefault="002A0CCF" w:rsidP="00C9543D">
            <w:pPr>
              <w:pStyle w:val="Body"/>
              <w:spacing w:after="120"/>
              <w:jc w:val="both"/>
              <w:rPr>
                <w:color w:val="FFFFFF" w:themeColor="background1"/>
              </w:rPr>
            </w:pPr>
            <w:r w:rsidRPr="5F7EDD9A">
              <w:rPr>
                <w:color w:val="FFFFFF" w:themeColor="background1"/>
              </w:rPr>
              <w:lastRenderedPageBreak/>
              <w:t>Type of stakeholder</w:t>
            </w:r>
          </w:p>
        </w:tc>
        <w:tc>
          <w:tcPr>
            <w:tcW w:w="6843" w:type="dxa"/>
            <w:tcBorders>
              <w:bottom w:val="none" w:sz="0" w:space="0" w:color="auto"/>
            </w:tcBorders>
            <w:shd w:val="clear" w:color="auto" w:fill="194869" w:themeFill="accent1"/>
            <w:hideMark/>
          </w:tcPr>
          <w:p w14:paraId="52010E04" w14:textId="77777777" w:rsidR="002A0CCF" w:rsidRPr="004903EE" w:rsidRDefault="002A0CCF" w:rsidP="00C9543D">
            <w:pPr>
              <w:pStyle w:val="Body"/>
              <w:spacing w:after="120"/>
              <w:jc w:val="both"/>
              <w:cnfStyle w:val="100000000000" w:firstRow="1" w:lastRow="0" w:firstColumn="0" w:lastColumn="0" w:oddVBand="0" w:evenVBand="0" w:oddHBand="0" w:evenHBand="0" w:firstRowFirstColumn="0" w:firstRowLastColumn="0" w:lastRowFirstColumn="0" w:lastRowLastColumn="0"/>
              <w:rPr>
                <w:color w:val="FFFFFF" w:themeColor="background1"/>
              </w:rPr>
            </w:pPr>
            <w:proofErr w:type="spellStart"/>
            <w:r w:rsidRPr="5F7EDD9A">
              <w:rPr>
                <w:color w:val="FFFFFF" w:themeColor="background1"/>
              </w:rPr>
              <w:t>Representatives</w:t>
            </w:r>
            <w:proofErr w:type="spellEnd"/>
          </w:p>
        </w:tc>
      </w:tr>
      <w:tr w:rsidR="002A0CCF" w14:paraId="753D3046" w14:textId="77777777" w:rsidTr="5F7EDD9A">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0BE320A7" w14:textId="77777777" w:rsidR="002A0CCF" w:rsidRPr="002A0CCF" w:rsidRDefault="002A0CCF" w:rsidP="002A0CCF">
            <w:pPr>
              <w:pStyle w:val="Body"/>
              <w:rPr>
                <w:rStyle w:val="normaltextrun"/>
                <w:sz w:val="24"/>
                <w:szCs w:val="24"/>
              </w:rPr>
            </w:pPr>
            <w:r w:rsidRPr="002A0CCF">
              <w:rPr>
                <w:rStyle w:val="normaltextrun"/>
                <w:sz w:val="24"/>
                <w:szCs w:val="24"/>
              </w:rPr>
              <w:t xml:space="preserve">Central </w:t>
            </w:r>
            <w:proofErr w:type="spellStart"/>
            <w:r w:rsidRPr="002A0CCF">
              <w:rPr>
                <w:rStyle w:val="normaltextrun"/>
                <w:sz w:val="24"/>
                <w:szCs w:val="24"/>
              </w:rPr>
              <w:t>government</w:t>
            </w:r>
            <w:proofErr w:type="spellEnd"/>
            <w:r w:rsidRPr="002A0CCF">
              <w:rPr>
                <w:rStyle w:val="normaltextrun"/>
                <w:sz w:val="24"/>
                <w:szCs w:val="24"/>
              </w:rPr>
              <w:t xml:space="preserve"> </w:t>
            </w:r>
            <w:proofErr w:type="spellStart"/>
            <w:r w:rsidRPr="002A0CCF">
              <w:rPr>
                <w:rStyle w:val="normaltextrun"/>
                <w:sz w:val="24"/>
                <w:szCs w:val="24"/>
              </w:rPr>
              <w:t>authorities</w:t>
            </w:r>
            <w:proofErr w:type="spellEnd"/>
          </w:p>
        </w:tc>
        <w:tc>
          <w:tcPr>
            <w:tcW w:w="6843" w:type="dxa"/>
            <w:hideMark/>
          </w:tcPr>
          <w:p w14:paraId="23685979" w14:textId="77777777" w:rsidR="002A0CCF" w:rsidRPr="002A0CCF" w:rsidRDefault="002A0CCF" w:rsidP="002A0CCF">
            <w:pPr>
              <w:cnfStyle w:val="000000000000" w:firstRow="0" w:lastRow="0" w:firstColumn="0" w:lastColumn="0" w:oddVBand="0" w:evenVBand="0" w:oddHBand="0" w:evenHBand="0" w:firstRowFirstColumn="0" w:firstRowLastColumn="0" w:lastRowFirstColumn="0" w:lastRowLastColumn="0"/>
              <w:rPr>
                <w:rStyle w:val="normaltextrun"/>
                <w:rFonts w:cstheme="minorHAnsi"/>
                <w:color w:val="12354E" w:themeColor="accent1" w:themeShade="BF"/>
                <w:sz w:val="24"/>
                <w:szCs w:val="24"/>
                <w:lang w:val="en-GB"/>
              </w:rPr>
            </w:pPr>
            <w:r w:rsidRPr="002A0CCF">
              <w:rPr>
                <w:rStyle w:val="normaltextrun"/>
                <w:rFonts w:cstheme="minorHAnsi"/>
                <w:color w:val="12354E" w:themeColor="accent1" w:themeShade="BF"/>
                <w:sz w:val="24"/>
                <w:szCs w:val="24"/>
                <w:lang w:val="en-GB"/>
              </w:rPr>
              <w:t>Representatives from the key ministry/ministries responsible for water resources, as well as those from other ministries or commissions involved in, or with an impact on, water issues (</w:t>
            </w:r>
            <w:proofErr w:type="gramStart"/>
            <w:r w:rsidRPr="002A0CCF">
              <w:rPr>
                <w:rStyle w:val="normaltextrun"/>
                <w:rFonts w:cstheme="minorHAnsi"/>
                <w:color w:val="12354E" w:themeColor="accent1" w:themeShade="BF"/>
                <w:sz w:val="24"/>
                <w:szCs w:val="24"/>
                <w:lang w:val="en-GB"/>
              </w:rPr>
              <w:t>e.g.</w:t>
            </w:r>
            <w:proofErr w:type="gramEnd"/>
            <w:r w:rsidRPr="002A0CCF">
              <w:rPr>
                <w:rStyle w:val="normaltextrun"/>
                <w:rFonts w:cstheme="minorHAnsi"/>
                <w:color w:val="12354E" w:themeColor="accent1" w:themeShade="BF"/>
                <w:sz w:val="24"/>
                <w:szCs w:val="24"/>
                <w:lang w:val="en-GB"/>
              </w:rPr>
              <w:t xml:space="preserve"> agriculture/livestock, forestry, energy, environment, tourism, national planning and development, urban planning, water supply and sanitation, finance, climate change, risk management, health, etc.).  </w:t>
            </w:r>
          </w:p>
        </w:tc>
      </w:tr>
      <w:tr w:rsidR="002A0CCF" w14:paraId="18433796" w14:textId="77777777" w:rsidTr="5F7EDD9A">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4771EBE9" w14:textId="77777777" w:rsidR="002A0CCF" w:rsidRPr="00EB3205" w:rsidRDefault="002A0CCF" w:rsidP="002A0CCF">
            <w:pPr>
              <w:pStyle w:val="Body"/>
              <w:rPr>
                <w:rStyle w:val="eop"/>
                <w:sz w:val="24"/>
                <w:szCs w:val="24"/>
                <w:lang w:val="en-GB"/>
              </w:rPr>
            </w:pPr>
            <w:r w:rsidRPr="00EB3205">
              <w:rPr>
                <w:rStyle w:val="normaltextrun"/>
                <w:sz w:val="24"/>
                <w:szCs w:val="24"/>
                <w:lang w:val="en-GB"/>
              </w:rPr>
              <w:t>Basin, aquifer, protected area, and city level</w:t>
            </w:r>
          </w:p>
        </w:tc>
        <w:tc>
          <w:tcPr>
            <w:tcW w:w="6843" w:type="dxa"/>
            <w:hideMark/>
          </w:tcPr>
          <w:p w14:paraId="7874147F" w14:textId="77777777" w:rsidR="002A0CCF" w:rsidRPr="002A0CCF" w:rsidRDefault="002A0CCF" w:rsidP="002A0CCF">
            <w:pPr>
              <w:cnfStyle w:val="000000000000" w:firstRow="0" w:lastRow="0" w:firstColumn="0" w:lastColumn="0" w:oddVBand="0" w:evenVBand="0" w:oddHBand="0" w:evenHBand="0" w:firstRowFirstColumn="0" w:firstRowLastColumn="0" w:lastRowFirstColumn="0" w:lastRowLastColumn="0"/>
              <w:rPr>
                <w:rStyle w:val="eop"/>
                <w:rFonts w:cstheme="minorHAnsi"/>
                <w:color w:val="12354E" w:themeColor="accent1" w:themeShade="BF"/>
                <w:sz w:val="24"/>
                <w:szCs w:val="24"/>
                <w:lang w:val="en-GB"/>
              </w:rPr>
            </w:pPr>
            <w:r w:rsidRPr="002A0CCF">
              <w:rPr>
                <w:rStyle w:val="normaltextrun"/>
                <w:rFonts w:cstheme="minorHAnsi"/>
                <w:color w:val="12354E" w:themeColor="accent1" w:themeShade="BF"/>
                <w:sz w:val="24"/>
                <w:szCs w:val="24"/>
                <w:lang w:val="en-GB"/>
              </w:rPr>
              <w:t xml:space="preserve">Selected local authorities, protected areas representatives and organisations with responsibility for water resources management or oversight at the river basin, lake basin, or aquifer level, including potentially transboundary water bodies, to ensure coherence on the “other levels” questions on the survey. </w:t>
            </w:r>
          </w:p>
        </w:tc>
      </w:tr>
      <w:tr w:rsidR="002A0CCF" w14:paraId="2DD0BCEA" w14:textId="77777777" w:rsidTr="5F7EDD9A">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65B83B40" w14:textId="77777777" w:rsidR="002A0CCF" w:rsidRPr="002A0CCF" w:rsidRDefault="002A0CCF" w:rsidP="002A0CCF">
            <w:pPr>
              <w:pStyle w:val="Body"/>
              <w:rPr>
                <w:rStyle w:val="eop"/>
                <w:sz w:val="24"/>
                <w:szCs w:val="24"/>
              </w:rPr>
            </w:pPr>
            <w:r w:rsidRPr="002A0CCF">
              <w:rPr>
                <w:rStyle w:val="normaltextrun"/>
                <w:sz w:val="24"/>
                <w:szCs w:val="24"/>
              </w:rPr>
              <w:t xml:space="preserve">Scientific and </w:t>
            </w:r>
            <w:proofErr w:type="spellStart"/>
            <w:r w:rsidRPr="002A0CCF">
              <w:rPr>
                <w:rStyle w:val="normaltextrun"/>
                <w:sz w:val="24"/>
                <w:szCs w:val="24"/>
              </w:rPr>
              <w:t>technological</w:t>
            </w:r>
            <w:proofErr w:type="spellEnd"/>
            <w:r w:rsidRPr="002A0CCF">
              <w:rPr>
                <w:rStyle w:val="normaltextrun"/>
                <w:sz w:val="24"/>
                <w:szCs w:val="24"/>
              </w:rPr>
              <w:t xml:space="preserve"> </w:t>
            </w:r>
            <w:proofErr w:type="spellStart"/>
            <w:r w:rsidRPr="002A0CCF">
              <w:rPr>
                <w:rStyle w:val="normaltextrun"/>
                <w:sz w:val="24"/>
                <w:szCs w:val="24"/>
              </w:rPr>
              <w:t>community</w:t>
            </w:r>
            <w:proofErr w:type="spellEnd"/>
          </w:p>
        </w:tc>
        <w:tc>
          <w:tcPr>
            <w:tcW w:w="6843" w:type="dxa"/>
            <w:hideMark/>
          </w:tcPr>
          <w:p w14:paraId="67C5E435" w14:textId="77777777" w:rsidR="002A0CCF" w:rsidRPr="002A0CCF" w:rsidRDefault="002A0CCF" w:rsidP="002A0CCF">
            <w:pPr>
              <w:cnfStyle w:val="000000000000" w:firstRow="0" w:lastRow="0" w:firstColumn="0" w:lastColumn="0" w:oddVBand="0" w:evenVBand="0" w:oddHBand="0" w:evenHBand="0" w:firstRowFirstColumn="0" w:firstRowLastColumn="0" w:lastRowFirstColumn="0" w:lastRowLastColumn="0"/>
              <w:rPr>
                <w:rStyle w:val="eop"/>
                <w:rFonts w:cstheme="minorHAnsi"/>
                <w:color w:val="12354E" w:themeColor="accent1" w:themeShade="BF"/>
                <w:sz w:val="24"/>
                <w:szCs w:val="24"/>
                <w:lang w:val="en-GB"/>
              </w:rPr>
            </w:pPr>
            <w:r w:rsidRPr="002A0CCF">
              <w:rPr>
                <w:rStyle w:val="normaltextrun"/>
                <w:rFonts w:cstheme="minorHAnsi"/>
                <w:color w:val="12354E" w:themeColor="accent1" w:themeShade="BF"/>
                <w:sz w:val="24"/>
                <w:szCs w:val="24"/>
                <w:lang w:val="en-GB"/>
              </w:rPr>
              <w:t xml:space="preserve">Academic institutions, universities, research institutions, thinktanks, and other bodies with relevant information, studies, </w:t>
            </w:r>
            <w:proofErr w:type="gramStart"/>
            <w:r w:rsidRPr="002A0CCF">
              <w:rPr>
                <w:rStyle w:val="normaltextrun"/>
                <w:rFonts w:cstheme="minorHAnsi"/>
                <w:color w:val="12354E" w:themeColor="accent1" w:themeShade="BF"/>
                <w:sz w:val="24"/>
                <w:szCs w:val="24"/>
                <w:lang w:val="en-GB"/>
              </w:rPr>
              <w:t>data</w:t>
            </w:r>
            <w:proofErr w:type="gramEnd"/>
            <w:r w:rsidRPr="002A0CCF">
              <w:rPr>
                <w:rStyle w:val="normaltextrun"/>
                <w:rFonts w:cstheme="minorHAnsi"/>
                <w:color w:val="12354E" w:themeColor="accent1" w:themeShade="BF"/>
                <w:sz w:val="24"/>
                <w:szCs w:val="24"/>
                <w:lang w:val="en-GB"/>
              </w:rPr>
              <w:t xml:space="preserve"> and analyses on different aspects of water resources.  </w:t>
            </w:r>
          </w:p>
        </w:tc>
      </w:tr>
      <w:tr w:rsidR="002A0CCF" w14:paraId="18F7C7C6" w14:textId="77777777" w:rsidTr="5F7EDD9A">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3BEC39EB" w14:textId="77777777" w:rsidR="002A0CCF" w:rsidRPr="002A0CCF" w:rsidRDefault="002A0CCF" w:rsidP="002A0CCF">
            <w:pPr>
              <w:pStyle w:val="Body"/>
              <w:rPr>
                <w:rStyle w:val="eop"/>
                <w:sz w:val="24"/>
                <w:szCs w:val="24"/>
              </w:rPr>
            </w:pPr>
            <w:r w:rsidRPr="002A0CCF">
              <w:rPr>
                <w:rStyle w:val="normaltextrun"/>
                <w:sz w:val="24"/>
                <w:szCs w:val="24"/>
              </w:rPr>
              <w:t>Civil society</w:t>
            </w:r>
          </w:p>
        </w:tc>
        <w:tc>
          <w:tcPr>
            <w:tcW w:w="6843" w:type="dxa"/>
            <w:hideMark/>
          </w:tcPr>
          <w:p w14:paraId="7076CF33" w14:textId="77777777" w:rsidR="002A0CCF" w:rsidRPr="002A0CCF" w:rsidRDefault="002A0CCF" w:rsidP="002A0CCF">
            <w:pPr>
              <w:cnfStyle w:val="000000000000" w:firstRow="0" w:lastRow="0" w:firstColumn="0" w:lastColumn="0" w:oddVBand="0" w:evenVBand="0" w:oddHBand="0" w:evenHBand="0" w:firstRowFirstColumn="0" w:firstRowLastColumn="0" w:lastRowFirstColumn="0" w:lastRowLastColumn="0"/>
              <w:rPr>
                <w:rStyle w:val="eop"/>
                <w:rFonts w:cstheme="minorHAnsi"/>
                <w:color w:val="12354E" w:themeColor="accent1" w:themeShade="BF"/>
                <w:sz w:val="24"/>
                <w:szCs w:val="24"/>
                <w:lang w:val="en-GB"/>
              </w:rPr>
            </w:pPr>
            <w:r w:rsidRPr="002A0CCF">
              <w:rPr>
                <w:rStyle w:val="normaltextrun"/>
                <w:rFonts w:cstheme="minorHAnsi"/>
                <w:color w:val="12354E" w:themeColor="accent1" w:themeShade="BF"/>
                <w:sz w:val="24"/>
                <w:szCs w:val="24"/>
                <w:lang w:val="en-GB"/>
              </w:rPr>
              <w:t>Non-governmental organisations, representatives of community groups, water user associations, environmental organisations, and/or farmer organisations, with a focus on water resources management. </w:t>
            </w:r>
          </w:p>
        </w:tc>
      </w:tr>
      <w:tr w:rsidR="002A0CCF" w14:paraId="24BDA2FF" w14:textId="77777777" w:rsidTr="5F7EDD9A">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74B7AE4C" w14:textId="77777777" w:rsidR="002A0CCF" w:rsidRPr="002A0CCF" w:rsidRDefault="002A0CCF" w:rsidP="002A0CCF">
            <w:pPr>
              <w:pStyle w:val="Body"/>
              <w:rPr>
                <w:rStyle w:val="normaltextrun"/>
                <w:sz w:val="24"/>
                <w:szCs w:val="24"/>
              </w:rPr>
            </w:pPr>
            <w:r w:rsidRPr="002A0CCF">
              <w:rPr>
                <w:rStyle w:val="normaltextrun"/>
                <w:sz w:val="24"/>
                <w:szCs w:val="24"/>
              </w:rPr>
              <w:t xml:space="preserve">UN Country Teams </w:t>
            </w:r>
          </w:p>
        </w:tc>
        <w:tc>
          <w:tcPr>
            <w:tcW w:w="6843" w:type="dxa"/>
            <w:hideMark/>
          </w:tcPr>
          <w:p w14:paraId="45A6A2BA" w14:textId="77777777" w:rsidR="002A0CCF" w:rsidRPr="002A0CCF" w:rsidRDefault="002A0CCF" w:rsidP="002A0CCF">
            <w:pPr>
              <w:cnfStyle w:val="000000000000" w:firstRow="0" w:lastRow="0" w:firstColumn="0" w:lastColumn="0" w:oddVBand="0" w:evenVBand="0" w:oddHBand="0" w:evenHBand="0" w:firstRowFirstColumn="0" w:firstRowLastColumn="0" w:lastRowFirstColumn="0" w:lastRowLastColumn="0"/>
              <w:rPr>
                <w:rStyle w:val="normaltextrun"/>
                <w:rFonts w:ascii="Calibri" w:hAnsi="Calibri" w:cs="Calibri"/>
                <w:color w:val="000000" w:themeColor="text1"/>
                <w:sz w:val="24"/>
                <w:szCs w:val="24"/>
                <w:lang w:val="en-GB"/>
              </w:rPr>
            </w:pPr>
            <w:r w:rsidRPr="002A0CCF">
              <w:rPr>
                <w:rStyle w:val="normaltextrun"/>
                <w:rFonts w:cstheme="minorHAnsi"/>
                <w:color w:val="12354E" w:themeColor="accent1" w:themeShade="BF"/>
                <w:sz w:val="24"/>
                <w:szCs w:val="24"/>
                <w:lang w:val="en-GB"/>
              </w:rPr>
              <w:t>Those United Nations entities most relevant for sustainable development, the environment, social considerations and economic development, which can be accessed</w:t>
            </w:r>
            <w:r w:rsidRPr="002A0CCF">
              <w:rPr>
                <w:rStyle w:val="normaltextrun"/>
                <w:rFonts w:ascii="Calibri" w:hAnsi="Calibri" w:cs="Calibri"/>
                <w:color w:val="12354E" w:themeColor="accent1" w:themeShade="BF"/>
                <w:sz w:val="24"/>
                <w:szCs w:val="24"/>
                <w:lang w:val="en-GB"/>
              </w:rPr>
              <w:t xml:space="preserve"> </w:t>
            </w:r>
            <w:hyperlink r:id="rId17" w:history="1">
              <w:r w:rsidRPr="00B648A5">
                <w:rPr>
                  <w:rStyle w:val="Hyperlink"/>
                  <w:rFonts w:ascii="Calibri" w:hAnsi="Calibri" w:cs="Calibri"/>
                  <w:sz w:val="24"/>
                  <w:szCs w:val="24"/>
                </w:rPr>
                <w:t>here</w:t>
              </w:r>
            </w:hyperlink>
            <w:r w:rsidRPr="002A0CCF">
              <w:rPr>
                <w:rStyle w:val="normaltextrun"/>
                <w:rFonts w:cstheme="minorHAnsi"/>
                <w:color w:val="12354E" w:themeColor="accent1" w:themeShade="BF"/>
                <w:sz w:val="24"/>
                <w:szCs w:val="24"/>
              </w:rPr>
              <w:t>. Agencies may typically be contacted through the Resident Coordinator’s Office, for cohesion.</w:t>
            </w:r>
          </w:p>
        </w:tc>
      </w:tr>
      <w:tr w:rsidR="002A0CCF" w14:paraId="42974ED4" w14:textId="77777777" w:rsidTr="5F7EDD9A">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1A22D9EB" w14:textId="77777777" w:rsidR="002A0CCF" w:rsidRPr="00EB3205" w:rsidRDefault="002A0CCF" w:rsidP="002A0CCF">
            <w:pPr>
              <w:pStyle w:val="Body"/>
              <w:rPr>
                <w:rStyle w:val="normaltextrun"/>
                <w:sz w:val="24"/>
                <w:szCs w:val="24"/>
                <w:lang w:val="en-GB"/>
              </w:rPr>
            </w:pPr>
            <w:r w:rsidRPr="00EB3205">
              <w:rPr>
                <w:rStyle w:val="normaltextrun"/>
                <w:sz w:val="24"/>
                <w:szCs w:val="24"/>
                <w:lang w:val="en-GB"/>
              </w:rPr>
              <w:t>GWP or UNDP Cap-Net partners in your country</w:t>
            </w:r>
          </w:p>
        </w:tc>
        <w:tc>
          <w:tcPr>
            <w:tcW w:w="6843" w:type="dxa"/>
            <w:hideMark/>
          </w:tcPr>
          <w:p w14:paraId="460ED893" w14:textId="77777777" w:rsidR="002A0CCF" w:rsidRPr="002A0CCF" w:rsidRDefault="003C7923" w:rsidP="002A0CCF">
            <w:pPr>
              <w:jc w:val="both"/>
              <w:cnfStyle w:val="000000000000" w:firstRow="0" w:lastRow="0" w:firstColumn="0" w:lastColumn="0" w:oddVBand="0" w:evenVBand="0" w:oddHBand="0" w:evenHBand="0" w:firstRowFirstColumn="0" w:firstRowLastColumn="0" w:lastRowFirstColumn="0" w:lastRowLastColumn="0"/>
              <w:rPr>
                <w:rStyle w:val="eop"/>
                <w:sz w:val="24"/>
                <w:szCs w:val="24"/>
              </w:rPr>
            </w:pPr>
            <w:hyperlink r:id="rId18" w:history="1">
              <w:r w:rsidR="002A0CCF" w:rsidRPr="002A0CCF">
                <w:rPr>
                  <w:rStyle w:val="Hyperlink"/>
                  <w:rFonts w:ascii="Calibri" w:hAnsi="Calibri" w:cs="Calibri"/>
                  <w:sz w:val="24"/>
                  <w:szCs w:val="24"/>
                </w:rPr>
                <w:t>GWP’s partners</w:t>
              </w:r>
            </w:hyperlink>
            <w:r w:rsidR="002A0CCF" w:rsidRPr="002A0CCF">
              <w:rPr>
                <w:rStyle w:val="normaltextrun"/>
                <w:rFonts w:ascii="Calibri" w:hAnsi="Calibri" w:cs="Calibri"/>
                <w:color w:val="000000" w:themeColor="text1"/>
                <w:sz w:val="24"/>
                <w:szCs w:val="24"/>
                <w:lang w:val="en-GB"/>
              </w:rPr>
              <w:t xml:space="preserve"> </w:t>
            </w:r>
            <w:r w:rsidR="002A0CCF" w:rsidRPr="002A0CCF">
              <w:rPr>
                <w:rStyle w:val="normaltextrun"/>
                <w:rFonts w:cstheme="minorHAnsi"/>
                <w:color w:val="12354E" w:themeColor="accent1" w:themeShade="BF"/>
                <w:sz w:val="24"/>
                <w:szCs w:val="24"/>
                <w:lang w:val="en-GB"/>
              </w:rPr>
              <w:t>represent a range of different stakeholders concerned with IWRM, from different sectors (</w:t>
            </w:r>
            <w:hyperlink r:id="rId19" w:history="1">
              <w:r w:rsidR="002A0CCF" w:rsidRPr="002A0CCF">
                <w:rPr>
                  <w:rStyle w:val="Hyperlink"/>
                  <w:rFonts w:ascii="Calibri" w:hAnsi="Calibri" w:cs="Calibri"/>
                  <w:sz w:val="24"/>
                  <w:szCs w:val="24"/>
                  <w:lang w:val="en-GB"/>
                </w:rPr>
                <w:t>https://www.gwp.org/en/partner/existing-partners/Partner-Search/</w:t>
              </w:r>
            </w:hyperlink>
            <w:r w:rsidR="002A0CCF" w:rsidRPr="002A0CCF">
              <w:rPr>
                <w:rStyle w:val="normaltextrun"/>
                <w:rFonts w:cstheme="minorHAnsi"/>
                <w:color w:val="12354E" w:themeColor="accent1" w:themeShade="BF"/>
                <w:sz w:val="24"/>
                <w:szCs w:val="24"/>
                <w:lang w:val="en-GB"/>
              </w:rPr>
              <w:t>). UNDP Cap-Net</w:t>
            </w:r>
            <w:r w:rsidR="002A0CCF" w:rsidRPr="002A0CCF">
              <w:rPr>
                <w:rStyle w:val="normaltextrun"/>
                <w:rFonts w:ascii="Calibri" w:hAnsi="Calibri" w:cs="Calibri"/>
                <w:color w:val="000000" w:themeColor="text1"/>
                <w:sz w:val="24"/>
                <w:szCs w:val="24"/>
                <w:lang w:val="en-GB"/>
              </w:rPr>
              <w:t xml:space="preserve"> </w:t>
            </w:r>
            <w:hyperlink r:id="rId20" w:history="1">
              <w:r w:rsidR="002A0CCF" w:rsidRPr="002A0CCF">
                <w:rPr>
                  <w:rStyle w:val="Hyperlink"/>
                  <w:rFonts w:ascii="Calibri" w:hAnsi="Calibri" w:cs="Calibri"/>
                  <w:sz w:val="24"/>
                  <w:szCs w:val="24"/>
                  <w:lang w:val="en-GB"/>
                </w:rPr>
                <w:t>partners</w:t>
              </w:r>
            </w:hyperlink>
            <w:r w:rsidR="002A0CCF" w:rsidRPr="002A0CCF">
              <w:t xml:space="preserve"> </w:t>
            </w:r>
            <w:r w:rsidR="002A0CCF" w:rsidRPr="002A0CCF">
              <w:rPr>
                <w:color w:val="12354E" w:themeColor="accent1" w:themeShade="BF"/>
                <w:sz w:val="24"/>
              </w:rPr>
              <w:t xml:space="preserve">include various water-focused capacity development and knowledge </w:t>
            </w:r>
            <w:hyperlink r:id="rId21" w:history="1">
              <w:r w:rsidR="002A0CCF" w:rsidRPr="002A0CCF">
                <w:rPr>
                  <w:rStyle w:val="Hyperlink"/>
                  <w:rFonts w:ascii="Calibri" w:hAnsi="Calibri" w:cs="Calibri"/>
                  <w:sz w:val="24"/>
                  <w:szCs w:val="24"/>
                  <w:lang w:val="en-GB"/>
                </w:rPr>
                <w:t>networks</w:t>
              </w:r>
            </w:hyperlink>
            <w:r w:rsidR="002A0CCF" w:rsidRPr="002A0CCF">
              <w:rPr>
                <w:rStyle w:val="normaltextrun"/>
                <w:rFonts w:ascii="Calibri" w:hAnsi="Calibri" w:cs="Calibri"/>
                <w:color w:val="000000" w:themeColor="text1"/>
                <w:sz w:val="24"/>
                <w:szCs w:val="24"/>
                <w:lang w:val="en-GB"/>
              </w:rPr>
              <w:t xml:space="preserve"> </w:t>
            </w:r>
            <w:r w:rsidR="002A0CCF" w:rsidRPr="002A0CCF">
              <w:rPr>
                <w:rStyle w:val="normaltextrun"/>
                <w:rFonts w:cstheme="minorHAnsi"/>
                <w:color w:val="12354E" w:themeColor="accent1" w:themeShade="BF"/>
                <w:sz w:val="24"/>
                <w:szCs w:val="24"/>
                <w:lang w:val="en-GB"/>
              </w:rPr>
              <w:t>and organisations.</w:t>
            </w:r>
          </w:p>
        </w:tc>
      </w:tr>
      <w:tr w:rsidR="002A0CCF" w14:paraId="0C84DDA1" w14:textId="77777777" w:rsidTr="5F7EDD9A">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41B7E32C" w14:textId="77777777" w:rsidR="002A0CCF" w:rsidRPr="00EB3205" w:rsidRDefault="002A0CCF" w:rsidP="002A0CCF">
            <w:pPr>
              <w:pStyle w:val="Body"/>
              <w:rPr>
                <w:rStyle w:val="normaltextrun"/>
                <w:sz w:val="24"/>
                <w:szCs w:val="24"/>
                <w:lang w:val="en-GB"/>
              </w:rPr>
            </w:pPr>
            <w:r w:rsidRPr="00EB3205">
              <w:rPr>
                <w:rStyle w:val="normaltextrun"/>
                <w:sz w:val="24"/>
                <w:szCs w:val="24"/>
                <w:lang w:val="en-GB"/>
              </w:rPr>
              <w:t>Financial actors such as national budgetary commissions and finance ministries</w:t>
            </w:r>
          </w:p>
        </w:tc>
        <w:tc>
          <w:tcPr>
            <w:tcW w:w="6843" w:type="dxa"/>
            <w:hideMark/>
          </w:tcPr>
          <w:p w14:paraId="4692E5C0" w14:textId="77777777" w:rsidR="002A0CCF" w:rsidRPr="00EB3205" w:rsidRDefault="002A0CCF" w:rsidP="002A0CCF">
            <w:pPr>
              <w:pStyle w:val="Body"/>
              <w:cnfStyle w:val="000000000000" w:firstRow="0" w:lastRow="0" w:firstColumn="0" w:lastColumn="0" w:oddVBand="0" w:evenVBand="0" w:oddHBand="0" w:evenHBand="0" w:firstRowFirstColumn="0" w:firstRowLastColumn="0" w:lastRowFirstColumn="0" w:lastRowLastColumn="0"/>
              <w:rPr>
                <w:rStyle w:val="eop"/>
                <w:rFonts w:cstheme="minorHAnsi"/>
                <w:sz w:val="24"/>
                <w:szCs w:val="24"/>
                <w:lang w:val="en-GB"/>
              </w:rPr>
            </w:pPr>
            <w:r w:rsidRPr="002A0CCF">
              <w:rPr>
                <w:rStyle w:val="eop"/>
                <w:rFonts w:cstheme="minorHAnsi"/>
                <w:sz w:val="24"/>
                <w:szCs w:val="24"/>
                <w:lang w:val="en-GB"/>
              </w:rPr>
              <w:t>R</w:t>
            </w:r>
            <w:r w:rsidRPr="00EB3205">
              <w:rPr>
                <w:rStyle w:val="eop"/>
                <w:rFonts w:cstheme="minorHAnsi"/>
                <w:sz w:val="24"/>
                <w:szCs w:val="24"/>
                <w:lang w:val="en-GB"/>
              </w:rPr>
              <w:t xml:space="preserve">epresentatives of governmental bodies responsible for allocation of funding for water resources management, including ministers of finance, central </w:t>
            </w:r>
            <w:proofErr w:type="gramStart"/>
            <w:r w:rsidRPr="00EB3205">
              <w:rPr>
                <w:rStyle w:val="eop"/>
                <w:rFonts w:cstheme="minorHAnsi"/>
                <w:sz w:val="24"/>
                <w:szCs w:val="24"/>
                <w:lang w:val="en-GB"/>
              </w:rPr>
              <w:t>banks</w:t>
            </w:r>
            <w:proofErr w:type="gramEnd"/>
            <w:r w:rsidRPr="00EB3205">
              <w:rPr>
                <w:rStyle w:val="eop"/>
                <w:rFonts w:cstheme="minorHAnsi"/>
                <w:sz w:val="24"/>
                <w:szCs w:val="24"/>
                <w:lang w:val="en-GB"/>
              </w:rPr>
              <w:t xml:space="preserve"> and others.</w:t>
            </w:r>
          </w:p>
        </w:tc>
      </w:tr>
      <w:tr w:rsidR="002A0CCF" w14:paraId="160EC9D5" w14:textId="77777777" w:rsidTr="5F7EDD9A">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60372C06" w14:textId="77777777" w:rsidR="002A0CCF" w:rsidRPr="002A0CCF" w:rsidRDefault="002A0CCF" w:rsidP="002A0CCF">
            <w:pPr>
              <w:pStyle w:val="Body"/>
              <w:rPr>
                <w:rStyle w:val="normaltextrun"/>
                <w:sz w:val="24"/>
                <w:szCs w:val="24"/>
              </w:rPr>
            </w:pPr>
            <w:r w:rsidRPr="002A0CCF">
              <w:rPr>
                <w:rStyle w:val="normaltextrun"/>
                <w:sz w:val="24"/>
                <w:szCs w:val="24"/>
              </w:rPr>
              <w:t xml:space="preserve">Business and </w:t>
            </w:r>
            <w:proofErr w:type="spellStart"/>
            <w:r w:rsidRPr="002A0CCF">
              <w:rPr>
                <w:rStyle w:val="normaltextrun"/>
                <w:sz w:val="24"/>
                <w:szCs w:val="24"/>
              </w:rPr>
              <w:t>industry</w:t>
            </w:r>
            <w:proofErr w:type="spellEnd"/>
          </w:p>
        </w:tc>
        <w:tc>
          <w:tcPr>
            <w:tcW w:w="6843" w:type="dxa"/>
            <w:hideMark/>
          </w:tcPr>
          <w:p w14:paraId="3FA0C768" w14:textId="77777777" w:rsidR="002A0CCF" w:rsidRPr="00EB3205" w:rsidRDefault="002A0CCF" w:rsidP="002A0CCF">
            <w:pPr>
              <w:pStyle w:val="Body"/>
              <w:cnfStyle w:val="000000000000" w:firstRow="0" w:lastRow="0" w:firstColumn="0" w:lastColumn="0" w:oddVBand="0" w:evenVBand="0" w:oddHBand="0" w:evenHBand="0" w:firstRowFirstColumn="0" w:firstRowLastColumn="0" w:lastRowFirstColumn="0" w:lastRowLastColumn="0"/>
              <w:rPr>
                <w:rStyle w:val="eop"/>
                <w:rFonts w:cstheme="minorHAnsi"/>
                <w:sz w:val="24"/>
                <w:szCs w:val="24"/>
                <w:lang w:val="en-GB"/>
              </w:rPr>
            </w:pPr>
            <w:r w:rsidRPr="002A0CCF">
              <w:rPr>
                <w:rStyle w:val="normaltextrun"/>
                <w:rFonts w:cstheme="minorHAnsi"/>
                <w:sz w:val="24"/>
                <w:szCs w:val="24"/>
                <w:lang w:val="en-GB"/>
              </w:rPr>
              <w:t xml:space="preserve">Companies with a significant environmental, </w:t>
            </w:r>
            <w:proofErr w:type="gramStart"/>
            <w:r w:rsidRPr="002A0CCF">
              <w:rPr>
                <w:rStyle w:val="normaltextrun"/>
                <w:rFonts w:cstheme="minorHAnsi"/>
                <w:sz w:val="24"/>
                <w:szCs w:val="24"/>
                <w:lang w:val="en-GB"/>
              </w:rPr>
              <w:t>social</w:t>
            </w:r>
            <w:proofErr w:type="gramEnd"/>
            <w:r w:rsidRPr="002A0CCF">
              <w:rPr>
                <w:rStyle w:val="normaltextrun"/>
                <w:rFonts w:cstheme="minorHAnsi"/>
                <w:sz w:val="24"/>
                <w:szCs w:val="24"/>
                <w:lang w:val="en-GB"/>
              </w:rPr>
              <w:t xml:space="preserve"> and economic interest (beverage, food, mining, energy, paper, consumer products, tourism or other related sectors, including water utilities). It is particularly important to get their inputs to question 2.1d on private sector participation.</w:t>
            </w:r>
          </w:p>
        </w:tc>
      </w:tr>
      <w:tr w:rsidR="002A0CCF" w14:paraId="28D3B1DE" w14:textId="77777777" w:rsidTr="5F7EDD9A">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5061BD2E" w14:textId="77777777" w:rsidR="002A0CCF" w:rsidRPr="00EB3205" w:rsidRDefault="002A0CCF" w:rsidP="002A0CCF">
            <w:pPr>
              <w:pStyle w:val="Body"/>
              <w:rPr>
                <w:rStyle w:val="eop"/>
                <w:sz w:val="24"/>
                <w:szCs w:val="24"/>
                <w:lang w:val="en-GB"/>
              </w:rPr>
            </w:pPr>
            <w:r w:rsidRPr="00EB3205">
              <w:rPr>
                <w:rStyle w:val="normaltextrun"/>
                <w:sz w:val="24"/>
                <w:szCs w:val="24"/>
                <w:lang w:val="en-GB"/>
              </w:rPr>
              <w:t xml:space="preserve">National focal points for SDG 6 and for other water-related SDG </w:t>
            </w:r>
            <w:r w:rsidRPr="00EB3205">
              <w:rPr>
                <w:rStyle w:val="normaltextrun"/>
                <w:sz w:val="24"/>
                <w:szCs w:val="24"/>
                <w:lang w:val="en-GB"/>
              </w:rPr>
              <w:lastRenderedPageBreak/>
              <w:t>targets and indicators</w:t>
            </w:r>
          </w:p>
        </w:tc>
        <w:tc>
          <w:tcPr>
            <w:tcW w:w="6843" w:type="dxa"/>
            <w:hideMark/>
          </w:tcPr>
          <w:p w14:paraId="50A36E85" w14:textId="2962E056" w:rsidR="002A0CCF" w:rsidRPr="00EB3205" w:rsidRDefault="002A0CCF" w:rsidP="002A0CCF">
            <w:pPr>
              <w:pStyle w:val="Body"/>
              <w:jc w:val="both"/>
              <w:cnfStyle w:val="000000000000" w:firstRow="0" w:lastRow="0" w:firstColumn="0" w:lastColumn="0" w:oddVBand="0" w:evenVBand="0" w:oddHBand="0" w:evenHBand="0" w:firstRowFirstColumn="0" w:firstRowLastColumn="0" w:lastRowFirstColumn="0" w:lastRowLastColumn="0"/>
              <w:rPr>
                <w:rStyle w:val="normaltextrun"/>
                <w:sz w:val="24"/>
                <w:szCs w:val="24"/>
                <w:lang w:val="en-GB"/>
              </w:rPr>
            </w:pPr>
            <w:r w:rsidRPr="002A0CCF">
              <w:rPr>
                <w:rStyle w:val="normaltextrun"/>
                <w:sz w:val="24"/>
                <w:szCs w:val="24"/>
                <w:lang w:val="en-GB"/>
              </w:rPr>
              <w:lastRenderedPageBreak/>
              <w:t xml:space="preserve">The government officials named as the focal points for each of the water-related SDG targets and indicators, including but not limited to those under SDG 6. Contact details for focal points of SDG 6 indicators, as well as the ‘overall’ focal point for SDG 6, are available </w:t>
            </w:r>
            <w:r w:rsidRPr="002A0CCF">
              <w:rPr>
                <w:rStyle w:val="normaltextrun"/>
                <w:sz w:val="24"/>
                <w:szCs w:val="24"/>
                <w:lang w:val="en-GB"/>
              </w:rPr>
              <w:lastRenderedPageBreak/>
              <w:t>on request from the SDG 6.5.1 Help Desk (</w:t>
            </w:r>
            <w:hyperlink r:id="rId22" w:history="1">
              <w:r w:rsidRPr="002A0CCF">
                <w:rPr>
                  <w:rStyle w:val="Hyperlink"/>
                  <w:sz w:val="24"/>
                  <w:szCs w:val="24"/>
                  <w:lang w:val="en-GB"/>
                </w:rPr>
                <w:t>iwrmsdg651@un.org</w:t>
              </w:r>
            </w:hyperlink>
            <w:r w:rsidRPr="002A0CCF">
              <w:rPr>
                <w:rStyle w:val="normaltextrun"/>
                <w:sz w:val="24"/>
                <w:szCs w:val="24"/>
                <w:lang w:val="en-GB"/>
              </w:rPr>
              <w:t xml:space="preserve">). A list of which indicator focal points are particularly relevant for different survey questions is provided in Annex 3 of </w:t>
            </w:r>
            <w:r w:rsidRPr="00B648A5">
              <w:rPr>
                <w:rStyle w:val="normaltextrun"/>
                <w:sz w:val="24"/>
                <w:szCs w:val="24"/>
                <w:lang w:val="en-GB"/>
              </w:rPr>
              <w:t xml:space="preserve">the </w:t>
            </w:r>
            <w:hyperlink r:id="rId23" w:history="1">
              <w:r w:rsidRPr="00B648A5">
                <w:rPr>
                  <w:rStyle w:val="Hyperlink"/>
                  <w:sz w:val="24"/>
                  <w:szCs w:val="24"/>
                  <w:lang w:val="en-GB"/>
                </w:rPr>
                <w:t>SDG indicator 6.5.1 Monitoring Guide</w:t>
              </w:r>
            </w:hyperlink>
            <w:r w:rsidRPr="00B648A5">
              <w:rPr>
                <w:rStyle w:val="normaltextrun"/>
                <w:sz w:val="24"/>
                <w:szCs w:val="24"/>
                <w:lang w:val="en-GB"/>
              </w:rPr>
              <w:t>.</w:t>
            </w:r>
            <w:r w:rsidRPr="002A0CCF">
              <w:rPr>
                <w:rStyle w:val="normaltextrun"/>
                <w:sz w:val="24"/>
                <w:szCs w:val="24"/>
                <w:lang w:val="en-GB"/>
              </w:rPr>
              <w:t xml:space="preserve"> Reporting on all SDG 6 indicators is coordinated by UN-Water through the Integrated Monitoring Initiative for SDG 6 (</w:t>
            </w:r>
            <w:hyperlink r:id="rId24" w:history="1">
              <w:r w:rsidRPr="002A0CCF">
                <w:rPr>
                  <w:rStyle w:val="Hyperlink"/>
                  <w:sz w:val="24"/>
                  <w:szCs w:val="24"/>
                  <w:lang w:val="en-GB"/>
                </w:rPr>
                <w:t>IMI-SDG6</w:t>
              </w:r>
            </w:hyperlink>
            <w:r w:rsidRPr="002A0CCF">
              <w:rPr>
                <w:rStyle w:val="normaltextrun"/>
                <w:sz w:val="24"/>
                <w:szCs w:val="24"/>
                <w:lang w:val="en-GB"/>
              </w:rPr>
              <w:t xml:space="preserve">). </w:t>
            </w:r>
            <w:hyperlink r:id="rId25" w:history="1">
              <w:r w:rsidRPr="002A0CCF">
                <w:rPr>
                  <w:rStyle w:val="Hyperlink"/>
                  <w:sz w:val="24"/>
                  <w:szCs w:val="24"/>
                  <w:lang w:val="en-GB"/>
                </w:rPr>
                <w:t>Linkages</w:t>
              </w:r>
            </w:hyperlink>
            <w:r w:rsidRPr="002A0CCF">
              <w:rPr>
                <w:rStyle w:val="normaltextrun"/>
                <w:rFonts w:eastAsiaTheme="minorEastAsia"/>
                <w:color w:val="000000" w:themeColor="text1"/>
                <w:sz w:val="24"/>
                <w:szCs w:val="24"/>
                <w:lang w:val="en-GB"/>
              </w:rPr>
              <w:t xml:space="preserve"> </w:t>
            </w:r>
            <w:r w:rsidRPr="002A0CCF">
              <w:rPr>
                <w:rStyle w:val="normaltextrun"/>
                <w:rFonts w:eastAsiaTheme="minorEastAsia"/>
                <w:sz w:val="24"/>
                <w:szCs w:val="24"/>
                <w:lang w:val="en-GB"/>
              </w:rPr>
              <w:t xml:space="preserve">to other relevant targets and indicators </w:t>
            </w:r>
            <w:proofErr w:type="gramStart"/>
            <w:r w:rsidRPr="002A0CCF">
              <w:rPr>
                <w:rStyle w:val="normaltextrun"/>
                <w:rFonts w:eastAsiaTheme="minorEastAsia"/>
                <w:sz w:val="24"/>
                <w:szCs w:val="24"/>
                <w:lang w:val="en-GB"/>
              </w:rPr>
              <w:t>include:</w:t>
            </w:r>
            <w:proofErr w:type="gramEnd"/>
            <w:r w:rsidRPr="002A0CCF">
              <w:rPr>
                <w:rStyle w:val="normaltextrun"/>
                <w:rFonts w:eastAsiaTheme="minorEastAsia"/>
                <w:sz w:val="24"/>
                <w:szCs w:val="24"/>
                <w:lang w:val="en-GB"/>
              </w:rPr>
              <w:t xml:space="preserve"> SDG 5.5 (gender), SDG 11.5 (disasters, including water-related disasters), to mention just a few. Contact deta</w:t>
            </w:r>
            <w:r w:rsidRPr="002A0CCF">
              <w:rPr>
                <w:rStyle w:val="normaltextrun"/>
                <w:sz w:val="24"/>
                <w:szCs w:val="24"/>
                <w:lang w:val="en-GB"/>
              </w:rPr>
              <w:t xml:space="preserve">ils for other national focal points should be available through official government channels, or through the </w:t>
            </w:r>
            <w:hyperlink r:id="rId26" w:history="1">
              <w:r w:rsidRPr="002A0CCF">
                <w:rPr>
                  <w:rStyle w:val="Hyperlink"/>
                  <w:sz w:val="24"/>
                  <w:szCs w:val="24"/>
                  <w:lang w:val="en-GB"/>
                </w:rPr>
                <w:t>global focal points</w:t>
              </w:r>
            </w:hyperlink>
            <w:r w:rsidRPr="002A0CCF">
              <w:rPr>
                <w:rStyle w:val="normaltextrun"/>
                <w:color w:val="000000" w:themeColor="text1"/>
                <w:sz w:val="24"/>
                <w:szCs w:val="24"/>
                <w:lang w:val="en-GB"/>
              </w:rPr>
              <w:t>.</w:t>
            </w:r>
          </w:p>
        </w:tc>
      </w:tr>
      <w:tr w:rsidR="002A0CCF" w14:paraId="0CF3D122" w14:textId="77777777" w:rsidTr="5F7EDD9A">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5C5B6B69" w14:textId="77777777" w:rsidR="002A0CCF" w:rsidRPr="002A0CCF" w:rsidRDefault="002A0CCF" w:rsidP="002A0CCF">
            <w:pPr>
              <w:pStyle w:val="Body"/>
              <w:rPr>
                <w:rStyle w:val="eop"/>
                <w:sz w:val="24"/>
                <w:szCs w:val="24"/>
              </w:rPr>
            </w:pPr>
            <w:proofErr w:type="spellStart"/>
            <w:r w:rsidRPr="002A0CCF">
              <w:rPr>
                <w:rStyle w:val="normaltextrun"/>
                <w:sz w:val="24"/>
                <w:szCs w:val="24"/>
              </w:rPr>
              <w:lastRenderedPageBreak/>
              <w:t>Gender</w:t>
            </w:r>
            <w:proofErr w:type="spellEnd"/>
            <w:r w:rsidRPr="002A0CCF">
              <w:rPr>
                <w:rStyle w:val="normaltextrun"/>
                <w:sz w:val="24"/>
                <w:szCs w:val="24"/>
              </w:rPr>
              <w:t xml:space="preserve"> </w:t>
            </w:r>
            <w:proofErr w:type="spellStart"/>
            <w:r w:rsidRPr="002A0CCF">
              <w:rPr>
                <w:rStyle w:val="normaltextrun"/>
                <w:sz w:val="24"/>
                <w:szCs w:val="24"/>
              </w:rPr>
              <w:t>advocacy</w:t>
            </w:r>
            <w:proofErr w:type="spellEnd"/>
            <w:r w:rsidRPr="002A0CCF">
              <w:rPr>
                <w:rStyle w:val="normaltextrun"/>
                <w:sz w:val="24"/>
                <w:szCs w:val="24"/>
              </w:rPr>
              <w:t xml:space="preserve"> groups</w:t>
            </w:r>
          </w:p>
        </w:tc>
        <w:tc>
          <w:tcPr>
            <w:tcW w:w="6843" w:type="dxa"/>
            <w:hideMark/>
          </w:tcPr>
          <w:p w14:paraId="3A348C36" w14:textId="77777777" w:rsidR="002A0CCF" w:rsidRPr="00EB3205" w:rsidRDefault="002A0CCF" w:rsidP="002A0CCF">
            <w:pPr>
              <w:pStyle w:val="Body"/>
              <w:jc w:val="both"/>
              <w:cnfStyle w:val="000000000000" w:firstRow="0" w:lastRow="0" w:firstColumn="0" w:lastColumn="0" w:oddVBand="0" w:evenVBand="0" w:oddHBand="0" w:evenHBand="0" w:firstRowFirstColumn="0" w:firstRowLastColumn="0" w:lastRowFirstColumn="0" w:lastRowLastColumn="0"/>
              <w:rPr>
                <w:rStyle w:val="eop"/>
                <w:sz w:val="24"/>
                <w:lang w:val="en-GB"/>
              </w:rPr>
            </w:pPr>
            <w:r w:rsidRPr="00EB3205">
              <w:rPr>
                <w:rStyle w:val="normaltextrun"/>
                <w:sz w:val="24"/>
                <w:lang w:val="en-GB"/>
              </w:rPr>
              <w:t>Identifying and engaging gender-based organisations can mean that opportunities and benefits of water-related interventions are equally available to all genders. This should be considered for all questions, although it will be essential for question 2.2d. The focal point for targets under SDG 5 may also be considered.</w:t>
            </w:r>
          </w:p>
        </w:tc>
      </w:tr>
      <w:tr w:rsidR="002A0CCF" w14:paraId="047E00D3" w14:textId="77777777" w:rsidTr="5F7EDD9A">
        <w:trPr>
          <w:trHeight w:val="300"/>
        </w:trPr>
        <w:tc>
          <w:tcPr>
            <w:cnfStyle w:val="001000000000" w:firstRow="0" w:lastRow="0" w:firstColumn="1" w:lastColumn="0" w:oddVBand="0" w:evenVBand="0" w:oddHBand="0" w:evenHBand="0" w:firstRowFirstColumn="0" w:firstRowLastColumn="0" w:lastRowFirstColumn="0" w:lastRowLastColumn="0"/>
            <w:tcW w:w="2173" w:type="dxa"/>
            <w:tcBorders>
              <w:right w:val="single" w:sz="4" w:space="0" w:color="BFBFBF" w:themeColor="background1" w:themeShade="BF"/>
            </w:tcBorders>
            <w:hideMark/>
          </w:tcPr>
          <w:p w14:paraId="00AAACD8" w14:textId="77777777" w:rsidR="002A0CCF" w:rsidRPr="00EB3205" w:rsidRDefault="002A0CCF" w:rsidP="002A0CCF">
            <w:pPr>
              <w:pStyle w:val="Body"/>
              <w:rPr>
                <w:rStyle w:val="eop"/>
                <w:sz w:val="24"/>
                <w:szCs w:val="24"/>
                <w:lang w:val="en-GB"/>
              </w:rPr>
            </w:pPr>
            <w:r w:rsidRPr="00EB3205">
              <w:rPr>
                <w:rStyle w:val="normaltextrun"/>
                <w:sz w:val="24"/>
                <w:szCs w:val="24"/>
                <w:lang w:val="en-GB"/>
              </w:rPr>
              <w:t>Vulnerable groups, including indigenous peoples</w:t>
            </w:r>
          </w:p>
        </w:tc>
        <w:tc>
          <w:tcPr>
            <w:tcW w:w="6843" w:type="dxa"/>
            <w:tcBorders>
              <w:left w:val="single" w:sz="4" w:space="0" w:color="BFBFBF" w:themeColor="background1" w:themeShade="BF"/>
            </w:tcBorders>
            <w:hideMark/>
          </w:tcPr>
          <w:p w14:paraId="2EB58362" w14:textId="77777777" w:rsidR="002A0CCF" w:rsidRPr="00EB3205" w:rsidRDefault="002A0CCF" w:rsidP="002A0CCF">
            <w:pPr>
              <w:pStyle w:val="Body"/>
              <w:jc w:val="both"/>
              <w:cnfStyle w:val="000000000000" w:firstRow="0" w:lastRow="0" w:firstColumn="0" w:lastColumn="0" w:oddVBand="0" w:evenVBand="0" w:oddHBand="0" w:evenHBand="0" w:firstRowFirstColumn="0" w:firstRowLastColumn="0" w:lastRowFirstColumn="0" w:lastRowLastColumn="0"/>
              <w:rPr>
                <w:rStyle w:val="eop"/>
                <w:sz w:val="24"/>
                <w:lang w:val="en-GB"/>
              </w:rPr>
            </w:pPr>
            <w:r w:rsidRPr="00EB3205">
              <w:rPr>
                <w:rStyle w:val="normaltextrun"/>
                <w:sz w:val="24"/>
                <w:lang w:val="en-GB"/>
              </w:rPr>
              <w:t xml:space="preserve">Representatives of institutions and organised groups that defend the rights, </w:t>
            </w:r>
            <w:proofErr w:type="gramStart"/>
            <w:r w:rsidRPr="00EB3205">
              <w:rPr>
                <w:rStyle w:val="normaltextrun"/>
                <w:sz w:val="24"/>
                <w:lang w:val="en-GB"/>
              </w:rPr>
              <w:t>interests</w:t>
            </w:r>
            <w:proofErr w:type="gramEnd"/>
            <w:r w:rsidRPr="00EB3205">
              <w:rPr>
                <w:rStyle w:val="normaltextrun"/>
                <w:sz w:val="24"/>
                <w:lang w:val="en-GB"/>
              </w:rPr>
              <w:t xml:space="preserve"> and perspectives of vulnerable groups, as defined in the 6.5.1 survey. It is particularly important to hear the voice of indigenous peoples and obtain their input on question 2.2c on vulnerable groups, among others. Note that the consultations may need to accommodate other languages other than the predominant national language.</w:t>
            </w:r>
          </w:p>
        </w:tc>
      </w:tr>
      <w:tr w:rsidR="002A0CCF" w14:paraId="2E8B6E92" w14:textId="77777777" w:rsidTr="5F7EDD9A">
        <w:trPr>
          <w:trHeight w:val="300"/>
        </w:trPr>
        <w:tc>
          <w:tcPr>
            <w:cnfStyle w:val="001000000000" w:firstRow="0" w:lastRow="0" w:firstColumn="1" w:lastColumn="0" w:oddVBand="0" w:evenVBand="0" w:oddHBand="0" w:evenHBand="0" w:firstRowFirstColumn="0" w:firstRowLastColumn="0" w:lastRowFirstColumn="0" w:lastRowLastColumn="0"/>
            <w:tcW w:w="2173" w:type="dxa"/>
            <w:hideMark/>
          </w:tcPr>
          <w:p w14:paraId="70F262CC" w14:textId="77777777" w:rsidR="002A0CCF" w:rsidRPr="002A0CCF" w:rsidRDefault="002A0CCF" w:rsidP="002A0CCF">
            <w:pPr>
              <w:pStyle w:val="Body"/>
              <w:rPr>
                <w:rStyle w:val="eop"/>
                <w:sz w:val="24"/>
                <w:szCs w:val="24"/>
              </w:rPr>
            </w:pPr>
            <w:proofErr w:type="spellStart"/>
            <w:r w:rsidRPr="002A0CCF">
              <w:rPr>
                <w:rStyle w:val="normaltextrun"/>
                <w:sz w:val="24"/>
                <w:szCs w:val="24"/>
              </w:rPr>
              <w:t>Youth</w:t>
            </w:r>
            <w:proofErr w:type="spellEnd"/>
          </w:p>
        </w:tc>
        <w:tc>
          <w:tcPr>
            <w:tcW w:w="6843" w:type="dxa"/>
            <w:hideMark/>
          </w:tcPr>
          <w:p w14:paraId="1DC520E3" w14:textId="77777777" w:rsidR="002A0CCF" w:rsidRPr="00EB3205" w:rsidRDefault="002A0CCF" w:rsidP="002A0CCF">
            <w:pPr>
              <w:pStyle w:val="Body"/>
              <w:jc w:val="both"/>
              <w:cnfStyle w:val="000000000000" w:firstRow="0" w:lastRow="0" w:firstColumn="0" w:lastColumn="0" w:oddVBand="0" w:evenVBand="0" w:oddHBand="0" w:evenHBand="0" w:firstRowFirstColumn="0" w:firstRowLastColumn="0" w:lastRowFirstColumn="0" w:lastRowLastColumn="0"/>
              <w:rPr>
                <w:rStyle w:val="eop"/>
                <w:sz w:val="24"/>
                <w:lang w:val="en-GB"/>
              </w:rPr>
            </w:pPr>
            <w:r w:rsidRPr="00EB3205">
              <w:rPr>
                <w:rStyle w:val="normaltextrun"/>
                <w:sz w:val="24"/>
                <w:lang w:val="en-GB"/>
              </w:rPr>
              <w:t>Youth organisations that are already engaged in water or sustainable development can be a good starting point to identifying the best participants to support SDG 6.5.1 monitoring. Youth representatives from any of the stakeholder groups mentioned above could also be invited.</w:t>
            </w:r>
          </w:p>
        </w:tc>
      </w:tr>
    </w:tbl>
    <w:p w14:paraId="674D7577" w14:textId="77777777" w:rsidR="002A0CCF" w:rsidRDefault="002A0CCF" w:rsidP="002A0CCF">
      <w:pPr>
        <w:spacing w:before="120"/>
        <w:jc w:val="both"/>
        <w:rPr>
          <w:rFonts w:eastAsiaTheme="minorEastAsia"/>
          <w:i/>
          <w:iCs/>
          <w:sz w:val="20"/>
          <w:szCs w:val="20"/>
        </w:rPr>
      </w:pPr>
      <w:r>
        <w:rPr>
          <w:rFonts w:eastAsiaTheme="minorEastAsia"/>
          <w:i/>
          <w:iCs/>
          <w:sz w:val="20"/>
          <w:szCs w:val="20"/>
        </w:rPr>
        <w:t xml:space="preserve">Table 1. Recommended stakeholder groups to be engaged in the consultation </w:t>
      </w:r>
      <w:proofErr w:type="gramStart"/>
      <w:r>
        <w:rPr>
          <w:rFonts w:eastAsiaTheme="minorEastAsia"/>
          <w:i/>
          <w:iCs/>
          <w:sz w:val="20"/>
          <w:szCs w:val="20"/>
        </w:rPr>
        <w:t>process</w:t>
      </w:r>
      <w:proofErr w:type="gramEnd"/>
    </w:p>
    <w:p w14:paraId="1FE9995B" w14:textId="5CBB8DD0" w:rsidR="002D1210" w:rsidRPr="00030CDA" w:rsidRDefault="002D1210" w:rsidP="002D1210">
      <w:pPr>
        <w:pStyle w:val="Body"/>
        <w:jc w:val="both"/>
        <w:rPr>
          <w:rFonts w:cstheme="minorHAnsi"/>
          <w:lang w:val="en-GB"/>
        </w:rPr>
      </w:pPr>
    </w:p>
    <w:p w14:paraId="4094951A" w14:textId="2C1D9536" w:rsidR="004646E9" w:rsidRDefault="00970943" w:rsidP="00FA42CA">
      <w:pPr>
        <w:pStyle w:val="Heading1"/>
        <w:numPr>
          <w:ilvl w:val="0"/>
          <w:numId w:val="2"/>
        </w:numPr>
        <w:jc w:val="both"/>
      </w:pPr>
      <w:r>
        <w:t xml:space="preserve"> </w:t>
      </w:r>
      <w:r w:rsidR="002A0CCF">
        <w:t xml:space="preserve">Suggested consultation </w:t>
      </w:r>
      <w:proofErr w:type="gramStart"/>
      <w:r w:rsidR="002A0CCF">
        <w:t>process</w:t>
      </w:r>
      <w:proofErr w:type="gramEnd"/>
    </w:p>
    <w:p w14:paraId="162C6906" w14:textId="77777777" w:rsidR="00357599" w:rsidRPr="00EB3205" w:rsidRDefault="00357599" w:rsidP="00357599">
      <w:pPr>
        <w:pStyle w:val="Body"/>
        <w:jc w:val="both"/>
        <w:rPr>
          <w:color w:val="FF0000"/>
          <w:lang w:val="en-GB"/>
        </w:rPr>
      </w:pPr>
      <w:r w:rsidRPr="00EB3205">
        <w:rPr>
          <w:lang w:val="en-GB"/>
        </w:rPr>
        <w:t xml:space="preserve">While the extent and mode of stakeholders that are engaged in the in-country stakeholder consultation processes is up to the SDG 6.5.1 Focal Point and their teams to define, this section outlines some suggestions on how such processes could be organised. </w:t>
      </w:r>
      <w:r w:rsidRPr="00EB3205">
        <w:rPr>
          <w:b/>
          <w:bCs/>
          <w:color w:val="EC531E" w:themeColor="accent6" w:themeShade="BF"/>
          <w:lang w:val="en-GB"/>
        </w:rPr>
        <w:t>Sentences marked in red are relevant for countries directly assisted by the SDG 6 IWRM Support Programme in the SDG 6.5.1 reporting process.</w:t>
      </w:r>
      <w:r w:rsidRPr="00EB3205">
        <w:rPr>
          <w:color w:val="EC531E" w:themeColor="accent6" w:themeShade="BF"/>
          <w:lang w:val="en-GB"/>
        </w:rPr>
        <w:t xml:space="preserve"> </w:t>
      </w:r>
    </w:p>
    <w:p w14:paraId="00FBBCEB" w14:textId="4D793D24" w:rsidR="000E5AD0" w:rsidRPr="00EB3205" w:rsidRDefault="00357599" w:rsidP="000E5AD0">
      <w:pPr>
        <w:pStyle w:val="Body"/>
        <w:jc w:val="both"/>
        <w:rPr>
          <w:lang w:val="en-GB"/>
        </w:rPr>
      </w:pPr>
      <w:r>
        <w:rPr>
          <w:lang w:val="en-GB"/>
        </w:rPr>
        <w:t>The process can be roughly divided into four phases as illustrated below</w:t>
      </w:r>
      <w:r w:rsidR="008B4AB1" w:rsidRPr="00EB3205">
        <w:rPr>
          <w:lang w:val="en-GB"/>
        </w:rPr>
        <w:t>.</w:t>
      </w:r>
    </w:p>
    <w:p w14:paraId="548B4322" w14:textId="470565CF" w:rsidR="000E5AD0" w:rsidRDefault="00357599" w:rsidP="000E5AD0">
      <w:pPr>
        <w:pStyle w:val="Body"/>
        <w:jc w:val="both"/>
      </w:pPr>
      <w:r>
        <w:rPr>
          <w:noProof/>
          <w:lang w:val="en-US"/>
        </w:rPr>
        <w:lastRenderedPageBreak/>
        <w:drawing>
          <wp:inline distT="0" distB="0" distL="0" distR="0" wp14:anchorId="351F8B65" wp14:editId="54D1D9FC">
            <wp:extent cx="5699125" cy="1076325"/>
            <wp:effectExtent l="57150" t="0" r="53975" b="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p>
    <w:p w14:paraId="0E084FF6" w14:textId="77777777" w:rsidR="00357599" w:rsidRPr="00342022" w:rsidRDefault="00357599" w:rsidP="00357599">
      <w:pPr>
        <w:spacing w:before="120"/>
        <w:jc w:val="both"/>
        <w:rPr>
          <w:rFonts w:eastAsiaTheme="minorEastAsia"/>
          <w:i/>
          <w:iCs/>
          <w:color w:val="12354E" w:themeColor="accent1" w:themeShade="BF"/>
          <w:sz w:val="20"/>
          <w:szCs w:val="20"/>
        </w:rPr>
      </w:pPr>
      <w:r w:rsidRPr="00342022">
        <w:rPr>
          <w:rFonts w:eastAsiaTheme="minorEastAsia"/>
          <w:i/>
          <w:iCs/>
          <w:color w:val="12354E" w:themeColor="accent1" w:themeShade="BF"/>
          <w:sz w:val="20"/>
          <w:szCs w:val="20"/>
        </w:rPr>
        <w:t xml:space="preserve">Figure </w:t>
      </w:r>
      <w:r w:rsidRPr="00342022">
        <w:rPr>
          <w:rFonts w:eastAsiaTheme="minorEastAsia"/>
          <w:i/>
          <w:iCs/>
          <w:color w:val="12354E" w:themeColor="accent1" w:themeShade="BF"/>
          <w:sz w:val="20"/>
          <w:szCs w:val="20"/>
        </w:rPr>
        <w:fldChar w:fldCharType="begin"/>
      </w:r>
      <w:r w:rsidRPr="00342022">
        <w:rPr>
          <w:rFonts w:eastAsiaTheme="minorEastAsia"/>
          <w:i/>
          <w:iCs/>
          <w:color w:val="12354E" w:themeColor="accent1" w:themeShade="BF"/>
          <w:sz w:val="20"/>
          <w:szCs w:val="20"/>
        </w:rPr>
        <w:instrText xml:space="preserve"> SEQ Figure \* ARABIC </w:instrText>
      </w:r>
      <w:r w:rsidRPr="00342022">
        <w:rPr>
          <w:rFonts w:eastAsiaTheme="minorEastAsia"/>
          <w:i/>
          <w:iCs/>
          <w:color w:val="12354E" w:themeColor="accent1" w:themeShade="BF"/>
          <w:sz w:val="20"/>
          <w:szCs w:val="20"/>
        </w:rPr>
        <w:fldChar w:fldCharType="separate"/>
      </w:r>
      <w:r w:rsidRPr="00342022">
        <w:rPr>
          <w:rFonts w:eastAsiaTheme="minorEastAsia"/>
          <w:i/>
          <w:iCs/>
          <w:noProof/>
          <w:color w:val="12354E" w:themeColor="accent1" w:themeShade="BF"/>
          <w:sz w:val="20"/>
          <w:szCs w:val="20"/>
        </w:rPr>
        <w:t>1</w:t>
      </w:r>
      <w:r w:rsidRPr="00342022">
        <w:rPr>
          <w:rFonts w:eastAsiaTheme="minorEastAsia"/>
          <w:i/>
          <w:iCs/>
          <w:color w:val="12354E" w:themeColor="accent1" w:themeShade="BF"/>
          <w:sz w:val="20"/>
          <w:szCs w:val="20"/>
        </w:rPr>
        <w:fldChar w:fldCharType="end"/>
      </w:r>
      <w:r w:rsidRPr="00342022">
        <w:rPr>
          <w:rFonts w:eastAsiaTheme="minorEastAsia"/>
          <w:i/>
          <w:iCs/>
          <w:color w:val="12354E" w:themeColor="accent1" w:themeShade="BF"/>
          <w:sz w:val="20"/>
          <w:szCs w:val="20"/>
        </w:rPr>
        <w:t>. Overview of the four phases of an in-country SDG 6.5.1 stakeholder consultation</w:t>
      </w:r>
    </w:p>
    <w:p w14:paraId="007BFB5C" w14:textId="77777777" w:rsidR="00357599" w:rsidRPr="00EB3205" w:rsidRDefault="00357599" w:rsidP="000E5AD0">
      <w:pPr>
        <w:pStyle w:val="Body"/>
        <w:jc w:val="both"/>
        <w:rPr>
          <w:lang w:val="en-GB"/>
        </w:rPr>
      </w:pPr>
    </w:p>
    <w:p w14:paraId="713C120F" w14:textId="07343225" w:rsidR="00357599" w:rsidRPr="00357599" w:rsidRDefault="00357599" w:rsidP="00FA42CA">
      <w:pPr>
        <w:pStyle w:val="Body"/>
        <w:numPr>
          <w:ilvl w:val="1"/>
          <w:numId w:val="3"/>
        </w:numPr>
        <w:jc w:val="both"/>
        <w:rPr>
          <w:b/>
          <w:bCs/>
          <w:color w:val="20A6CA" w:themeColor="accent2"/>
          <w:sz w:val="36"/>
          <w:szCs w:val="36"/>
        </w:rPr>
      </w:pPr>
      <w:r w:rsidRPr="00357599">
        <w:rPr>
          <w:b/>
          <w:bCs/>
          <w:color w:val="20A6CA" w:themeColor="accent2"/>
          <w:sz w:val="36"/>
          <w:szCs w:val="36"/>
          <w:lang w:val="en-GB"/>
        </w:rPr>
        <w:t>Preparation</w:t>
      </w:r>
    </w:p>
    <w:p w14:paraId="29E6B7E2" w14:textId="1DD4FD5B" w:rsidR="00357599" w:rsidRPr="002B1B0C" w:rsidRDefault="00357599" w:rsidP="00357599">
      <w:pPr>
        <w:pStyle w:val="Body"/>
        <w:jc w:val="both"/>
        <w:rPr>
          <w:lang w:val="en-GB"/>
        </w:rPr>
      </w:pPr>
      <w:r w:rsidRPr="00EB3205">
        <w:rPr>
          <w:lang w:val="en-GB"/>
        </w:rPr>
        <w:t xml:space="preserve">The </w:t>
      </w:r>
      <w:r w:rsidRPr="00EB3205">
        <w:rPr>
          <w:i/>
          <w:iCs/>
          <w:lang w:val="en-GB"/>
        </w:rPr>
        <w:t>preparatory</w:t>
      </w:r>
      <w:r w:rsidRPr="00EB3205">
        <w:rPr>
          <w:lang w:val="en-GB"/>
        </w:rPr>
        <w:t xml:space="preserve"> </w:t>
      </w:r>
      <w:r w:rsidRPr="00EB3205">
        <w:rPr>
          <w:i/>
          <w:iCs/>
          <w:lang w:val="en-GB"/>
        </w:rPr>
        <w:t>phase</w:t>
      </w:r>
      <w:r w:rsidRPr="00EB3205">
        <w:rPr>
          <w:lang w:val="en-GB"/>
        </w:rPr>
        <w:t xml:space="preserve"> should start by </w:t>
      </w:r>
      <w:r w:rsidRPr="00EB3205">
        <w:rPr>
          <w:b/>
          <w:bCs/>
          <w:lang w:val="en-GB"/>
        </w:rPr>
        <w:t>clarifying who will organise and lead the stakeholder consultation</w:t>
      </w:r>
      <w:r w:rsidRPr="00EB3205">
        <w:rPr>
          <w:lang w:val="en-GB"/>
        </w:rPr>
        <w:t xml:space="preserve">. This might be done directly through the Focal </w:t>
      </w:r>
      <w:proofErr w:type="gramStart"/>
      <w:r w:rsidRPr="00EB3205">
        <w:rPr>
          <w:lang w:val="en-GB"/>
        </w:rPr>
        <w:t>Point</w:t>
      </w:r>
      <w:proofErr w:type="gramEnd"/>
      <w:r w:rsidRPr="00EB3205">
        <w:rPr>
          <w:lang w:val="en-GB"/>
        </w:rPr>
        <w:t xml:space="preserve"> or a small team appointed by them, or might be implemented by </w:t>
      </w:r>
      <w:r w:rsidRPr="00EB3205">
        <w:rPr>
          <w:b/>
          <w:bCs/>
          <w:lang w:val="en-GB"/>
        </w:rPr>
        <w:t>identifying or</w:t>
      </w:r>
      <w:r w:rsidRPr="00EB3205">
        <w:rPr>
          <w:lang w:val="en-GB"/>
        </w:rPr>
        <w:t xml:space="preserve"> </w:t>
      </w:r>
      <w:r w:rsidRPr="00EB3205">
        <w:rPr>
          <w:b/>
          <w:bCs/>
          <w:lang w:val="en-GB"/>
        </w:rPr>
        <w:t>hiring a dedicated facilitator</w:t>
      </w:r>
      <w:r w:rsidRPr="00EB3205">
        <w:rPr>
          <w:lang w:val="en-GB"/>
        </w:rPr>
        <w:t xml:space="preserve">, who is knowledgeable about IWRM and the broader development context, and well connected with the different stakeholders. </w:t>
      </w:r>
      <w:r w:rsidRPr="00EB3205">
        <w:rPr>
          <w:color w:val="EC531E" w:themeColor="accent6" w:themeShade="BF"/>
          <w:lang w:val="en-GB"/>
        </w:rPr>
        <w:t xml:space="preserve">For countries supported directly by the SDG 6 IWRM Support Programme, the hiring of a dedicated and skilled facilitator is highly recommended. </w:t>
      </w:r>
      <w:r w:rsidRPr="00EB3205">
        <w:rPr>
          <w:lang w:val="en-GB"/>
        </w:rPr>
        <w:t xml:space="preserve">The </w:t>
      </w:r>
      <w:r w:rsidRPr="002B1B0C">
        <w:rPr>
          <w:lang w:val="en-GB"/>
        </w:rPr>
        <w:t xml:space="preserve">facilitator should support the 6.5.1 Focal Point in preparing and implementing the stakeholder consultation process. A more detailed overview of the suggested tasks of the facilitator can be found in </w:t>
      </w:r>
      <w:hyperlink r:id="rId32" w:history="1">
        <w:r w:rsidRPr="002B1B0C">
          <w:rPr>
            <w:rStyle w:val="Hyperlink"/>
            <w:i/>
            <w:iCs/>
            <w:lang w:val="en-GB"/>
          </w:rPr>
          <w:t>Annex 4</w:t>
        </w:r>
      </w:hyperlink>
      <w:r w:rsidRPr="002B1B0C">
        <w:rPr>
          <w:lang w:val="en-GB"/>
        </w:rPr>
        <w:t xml:space="preserve">. </w:t>
      </w:r>
    </w:p>
    <w:p w14:paraId="13291D11" w14:textId="0D94B81C" w:rsidR="00357599" w:rsidRPr="00EB3205" w:rsidRDefault="00357599" w:rsidP="00357599">
      <w:pPr>
        <w:pStyle w:val="Body"/>
        <w:jc w:val="both"/>
        <w:rPr>
          <w:lang w:val="en-GB"/>
        </w:rPr>
      </w:pPr>
      <w:r w:rsidRPr="002B1B0C">
        <w:rPr>
          <w:lang w:val="en-GB"/>
        </w:rPr>
        <w:t xml:space="preserve">It is recommended that the facilitators and SDG 6.5.1 Focal Points take the self-paced online course </w:t>
      </w:r>
      <w:hyperlink r:id="rId33" w:history="1">
        <w:r w:rsidRPr="002B1B0C">
          <w:rPr>
            <w:rStyle w:val="Hyperlink"/>
            <w:lang w:val="en-GB"/>
          </w:rPr>
          <w:t>Training of Facilitators Course for SDG 6.5.1</w:t>
        </w:r>
      </w:hyperlink>
      <w:r w:rsidRPr="002B1B0C">
        <w:rPr>
          <w:lang w:val="en-GB"/>
        </w:rPr>
        <w:t xml:space="preserve">. </w:t>
      </w:r>
      <w:r w:rsidRPr="002B1B0C">
        <w:rPr>
          <w:color w:val="EC531E" w:themeColor="accent6" w:themeShade="BF"/>
          <w:lang w:val="en-GB"/>
        </w:rPr>
        <w:t>For facilitators</w:t>
      </w:r>
      <w:r w:rsidRPr="00EB3205">
        <w:rPr>
          <w:color w:val="EC531E" w:themeColor="accent6" w:themeShade="BF"/>
          <w:lang w:val="en-GB"/>
        </w:rPr>
        <w:t xml:space="preserve"> hired under the SDG 6 IWRM Support Programme, completing the course is mandatory. </w:t>
      </w:r>
      <w:r w:rsidRPr="00EB3205">
        <w:rPr>
          <w:lang w:val="en-GB"/>
        </w:rPr>
        <w:t xml:space="preserve">The course provides an overview of the SDG 6.5.1 reporting process and gives tips and tricks on how to run a successful stakeholder consultation. It is available in English, French and Spanish, and is open and free to anyone interested in national SDG 6.5.1 reporting. </w:t>
      </w:r>
    </w:p>
    <w:p w14:paraId="2B4CBEFD" w14:textId="77777777" w:rsidR="00357599" w:rsidRPr="00EB3205" w:rsidRDefault="00357599" w:rsidP="00357599">
      <w:pPr>
        <w:pStyle w:val="Body"/>
        <w:jc w:val="both"/>
        <w:rPr>
          <w:lang w:val="en-GB"/>
        </w:rPr>
      </w:pPr>
      <w:r w:rsidRPr="00EB3205">
        <w:rPr>
          <w:lang w:val="en-GB"/>
        </w:rPr>
        <w:t xml:space="preserve">Furthermore, the facilitator and/or Focal Point should </w:t>
      </w:r>
      <w:r w:rsidRPr="00EB3205">
        <w:rPr>
          <w:b/>
          <w:bCs/>
          <w:lang w:val="en-GB"/>
        </w:rPr>
        <w:t>gather and review relevant information</w:t>
      </w:r>
      <w:r w:rsidRPr="00EB3205">
        <w:rPr>
          <w:lang w:val="en-GB"/>
        </w:rPr>
        <w:t xml:space="preserve">, including: </w:t>
      </w:r>
    </w:p>
    <w:p w14:paraId="3A47B106" w14:textId="1075F87C" w:rsidR="00357599" w:rsidRDefault="00357599" w:rsidP="00FA42CA">
      <w:pPr>
        <w:pStyle w:val="ListParagraph"/>
        <w:numPr>
          <w:ilvl w:val="0"/>
          <w:numId w:val="4"/>
        </w:numPr>
        <w:spacing w:after="120" w:line="256" w:lineRule="auto"/>
        <w:jc w:val="both"/>
        <w:rPr>
          <w:lang w:val="en-GB"/>
        </w:rPr>
      </w:pPr>
      <w:r>
        <w:rPr>
          <w:u w:val="single"/>
          <w:lang w:val="en-GB"/>
        </w:rPr>
        <w:t>The latest version of the official SDG 6.5.1 survey</w:t>
      </w:r>
      <w:r>
        <w:rPr>
          <w:lang w:val="en-GB"/>
        </w:rPr>
        <w:t xml:space="preserve"> and monitoring guide</w:t>
      </w:r>
      <w:r>
        <w:rPr>
          <w:rFonts w:ascii="Calibri" w:hAnsi="Calibri" w:cs="Calibri"/>
          <w:lang w:val="en-GB"/>
        </w:rPr>
        <w:t xml:space="preserve">, available on the </w:t>
      </w:r>
      <w:hyperlink r:id="rId34" w:history="1">
        <w:r w:rsidRPr="002B1B0C">
          <w:rPr>
            <w:rStyle w:val="Hyperlink"/>
            <w:rFonts w:ascii="Calibri" w:hAnsi="Calibri" w:cs="Calibri"/>
            <w:lang w:val="en-GB"/>
          </w:rPr>
          <w:t>IWRM Data Portal</w:t>
        </w:r>
      </w:hyperlink>
      <w:r>
        <w:rPr>
          <w:lang w:val="en-GB"/>
        </w:rPr>
        <w:t xml:space="preserve">; </w:t>
      </w:r>
    </w:p>
    <w:p w14:paraId="6B5F0719" w14:textId="4494CAF7" w:rsidR="00357599" w:rsidRPr="00EB3205" w:rsidRDefault="00357599" w:rsidP="00FA42CA">
      <w:pPr>
        <w:pStyle w:val="ListParagraph"/>
        <w:numPr>
          <w:ilvl w:val="0"/>
          <w:numId w:val="4"/>
        </w:numPr>
        <w:spacing w:after="120" w:line="256" w:lineRule="auto"/>
        <w:jc w:val="both"/>
        <w:rPr>
          <w:rStyle w:val="FootnoteReference"/>
          <w:lang w:val="en-GB"/>
        </w:rPr>
      </w:pPr>
      <w:r>
        <w:rPr>
          <w:rFonts w:ascii="Calibri" w:hAnsi="Calibri" w:cs="Calibri"/>
          <w:u w:val="single"/>
          <w:lang w:val="en-GB"/>
        </w:rPr>
        <w:t>Previous national submissions on the indicator</w:t>
      </w:r>
      <w:r>
        <w:rPr>
          <w:rFonts w:ascii="Calibri" w:hAnsi="Calibri" w:cs="Calibri"/>
          <w:lang w:val="en-GB"/>
        </w:rPr>
        <w:t xml:space="preserve"> (from years 2017 and 2020) available on the </w:t>
      </w:r>
      <w:hyperlink r:id="rId35" w:history="1">
        <w:r w:rsidRPr="002B1B0C">
          <w:rPr>
            <w:rStyle w:val="Hyperlink"/>
            <w:rFonts w:ascii="Calibri" w:hAnsi="Calibri" w:cs="Calibri"/>
            <w:lang w:val="en-GB"/>
          </w:rPr>
          <w:t>IWRM Data Portal</w:t>
        </w:r>
      </w:hyperlink>
      <w:r>
        <w:rPr>
          <w:rFonts w:ascii="Calibri" w:hAnsi="Calibri" w:cs="Calibri"/>
          <w:lang w:val="en-GB"/>
        </w:rPr>
        <w:t xml:space="preserve">. </w:t>
      </w:r>
      <w:r>
        <w:rPr>
          <w:rFonts w:ascii="Calibri" w:eastAsia="Times New Roman" w:hAnsi="Calibri" w:cs="Calibri"/>
          <w:lang w:val="en-GB" w:eastAsia="en-GB"/>
        </w:rPr>
        <w:t>This can serve as a useful starting point for discussion with the stakeholders</w:t>
      </w:r>
      <w:r>
        <w:rPr>
          <w:rFonts w:ascii="Calibri" w:hAnsi="Calibri" w:cs="Calibri"/>
          <w:lang w:val="en-GB"/>
        </w:rPr>
        <w:t>;</w:t>
      </w:r>
    </w:p>
    <w:p w14:paraId="37A034B5" w14:textId="77777777" w:rsidR="00357599" w:rsidRPr="00EB3205" w:rsidRDefault="00357599" w:rsidP="00FA42CA">
      <w:pPr>
        <w:pStyle w:val="ListParagraph"/>
        <w:numPr>
          <w:ilvl w:val="0"/>
          <w:numId w:val="4"/>
        </w:numPr>
        <w:spacing w:after="120" w:line="256" w:lineRule="auto"/>
        <w:jc w:val="both"/>
        <w:rPr>
          <w:lang w:val="en-GB"/>
        </w:rPr>
      </w:pPr>
      <w:r>
        <w:rPr>
          <w:rFonts w:ascii="Calibri" w:hAnsi="Calibri" w:cs="Calibri"/>
          <w:u w:val="single"/>
          <w:lang w:val="en-GB"/>
        </w:rPr>
        <w:t>National stakeholder consultation reports</w:t>
      </w:r>
      <w:r>
        <w:rPr>
          <w:rFonts w:ascii="Calibri" w:hAnsi="Calibri" w:cs="Calibri"/>
          <w:lang w:val="en-GB"/>
        </w:rPr>
        <w:t xml:space="preserve"> from previous reporting rounds (only available for countries supported by the SDG 6 IWRM Support Programme, and can be downloaded from the </w:t>
      </w:r>
      <w:hyperlink r:id="rId36" w:history="1">
        <w:r>
          <w:rPr>
            <w:rStyle w:val="Hyperlink"/>
            <w:rFonts w:ascii="Calibri" w:hAnsi="Calibri" w:cs="Calibri"/>
            <w:lang w:val="en-GB"/>
          </w:rPr>
          <w:t>Support Programme Results Map</w:t>
        </w:r>
      </w:hyperlink>
      <w:r>
        <w:rPr>
          <w:rStyle w:val="Hyperlink"/>
          <w:rFonts w:ascii="Calibri" w:hAnsi="Calibri" w:cs="Calibri"/>
          <w:lang w:val="en-GB"/>
        </w:rPr>
        <w:t>)</w:t>
      </w:r>
      <w:r>
        <w:rPr>
          <w:rFonts w:ascii="Calibri" w:hAnsi="Calibri" w:cs="Calibri"/>
          <w:lang w:val="en-GB"/>
        </w:rPr>
        <w:t>;</w:t>
      </w:r>
    </w:p>
    <w:p w14:paraId="1812C984" w14:textId="77777777" w:rsidR="00357599" w:rsidRDefault="00357599" w:rsidP="00FA42CA">
      <w:pPr>
        <w:pStyle w:val="ListParagraph"/>
        <w:numPr>
          <w:ilvl w:val="0"/>
          <w:numId w:val="4"/>
        </w:numPr>
        <w:spacing w:after="120" w:line="256" w:lineRule="auto"/>
        <w:jc w:val="both"/>
        <w:rPr>
          <w:rFonts w:ascii="Calibri" w:eastAsia="Times New Roman" w:hAnsi="Calibri" w:cs="Calibri"/>
          <w:lang w:val="en-GB" w:eastAsia="en-GB"/>
        </w:rPr>
      </w:pPr>
      <w:r>
        <w:rPr>
          <w:rFonts w:ascii="Calibri" w:hAnsi="Calibri" w:cs="Calibri"/>
          <w:lang w:val="en-GB"/>
        </w:rPr>
        <w:t xml:space="preserve">Any </w:t>
      </w:r>
      <w:r>
        <w:rPr>
          <w:rFonts w:ascii="Calibri" w:hAnsi="Calibri" w:cs="Calibri"/>
          <w:u w:val="single"/>
          <w:lang w:val="en-GB"/>
        </w:rPr>
        <w:t>further information</w:t>
      </w:r>
      <w:r>
        <w:rPr>
          <w:rFonts w:ascii="Calibri" w:hAnsi="Calibri" w:cs="Calibri"/>
          <w:lang w:val="en-GB"/>
        </w:rPr>
        <w:t xml:space="preserve"> relevant to understanding and assessing the status of water management and its linkages with other sectors, </w:t>
      </w:r>
      <w:proofErr w:type="gramStart"/>
      <w:r>
        <w:rPr>
          <w:rFonts w:ascii="Calibri" w:hAnsi="Calibri" w:cs="Calibri"/>
          <w:lang w:val="en-GB"/>
        </w:rPr>
        <w:t>e.g.</w:t>
      </w:r>
      <w:proofErr w:type="gramEnd"/>
      <w:r>
        <w:rPr>
          <w:rFonts w:ascii="Calibri" w:hAnsi="Calibri" w:cs="Calibri"/>
          <w:lang w:val="en-GB"/>
        </w:rPr>
        <w:t xml:space="preserve"> status of other SDG indicators, National Adaptation Plans (NAPs), and Nationally Determined Contributions (NDCs).</w:t>
      </w:r>
    </w:p>
    <w:p w14:paraId="331285FB" w14:textId="04EEE686" w:rsidR="00357599" w:rsidRPr="00357599" w:rsidRDefault="00357599" w:rsidP="00357599">
      <w:pPr>
        <w:pStyle w:val="Body"/>
        <w:jc w:val="both"/>
        <w:rPr>
          <w:rStyle w:val="normaltextrun"/>
        </w:rPr>
      </w:pPr>
      <w:r>
        <w:rPr>
          <w:rFonts w:ascii="Calibri" w:hAnsi="Calibri" w:cs="Calibri"/>
          <w:lang w:val="en-GB"/>
        </w:rPr>
        <w:t>The consultation process should then be designed, including the preparation of a list of participants to be invited to take part in the process (considering sectoral and other forms of diversity, as outlined in Section 2). Potential consultation modalities are described in the following section.</w:t>
      </w:r>
    </w:p>
    <w:p w14:paraId="7792DB97" w14:textId="39573B63" w:rsidR="008E2EB5" w:rsidRPr="008E2EB5" w:rsidRDefault="00357599" w:rsidP="00FA42CA">
      <w:pPr>
        <w:pStyle w:val="Body"/>
        <w:numPr>
          <w:ilvl w:val="1"/>
          <w:numId w:val="3"/>
        </w:numPr>
        <w:jc w:val="both"/>
        <w:rPr>
          <w:b/>
          <w:bCs/>
          <w:color w:val="20A6CA" w:themeColor="accent2"/>
          <w:sz w:val="36"/>
          <w:szCs w:val="36"/>
        </w:rPr>
      </w:pPr>
      <w:r w:rsidRPr="00357599">
        <w:rPr>
          <w:b/>
          <w:bCs/>
          <w:color w:val="20A6CA" w:themeColor="accent2"/>
          <w:sz w:val="36"/>
          <w:szCs w:val="36"/>
          <w:lang w:val="en-GB"/>
        </w:rPr>
        <w:lastRenderedPageBreak/>
        <w:t>Consultation</w:t>
      </w:r>
    </w:p>
    <w:p w14:paraId="2D27205D" w14:textId="03679DF8" w:rsidR="00357599" w:rsidRPr="00EB3205" w:rsidRDefault="00357599" w:rsidP="00357599">
      <w:pPr>
        <w:pStyle w:val="Body"/>
        <w:jc w:val="both"/>
        <w:rPr>
          <w:rFonts w:cstheme="minorHAnsi"/>
          <w:lang w:val="en-GB"/>
        </w:rPr>
      </w:pPr>
      <w:r w:rsidRPr="00357599">
        <w:rPr>
          <w:rStyle w:val="normaltextrun"/>
          <w:rFonts w:cstheme="minorHAnsi"/>
          <w:lang w:val="en-GB"/>
        </w:rPr>
        <w:t xml:space="preserve">The </w:t>
      </w:r>
      <w:r w:rsidRPr="00357599">
        <w:rPr>
          <w:rStyle w:val="normaltextrun"/>
          <w:rFonts w:cstheme="minorHAnsi"/>
          <w:i/>
          <w:iCs/>
          <w:lang w:val="en-GB"/>
        </w:rPr>
        <w:t>consultation phase</w:t>
      </w:r>
      <w:r w:rsidRPr="00357599">
        <w:rPr>
          <w:rStyle w:val="normaltextrun"/>
          <w:rFonts w:cstheme="minorHAnsi"/>
          <w:lang w:val="en-GB"/>
        </w:rPr>
        <w:t xml:space="preserve"> facilitates inputs from relevant cross-sectoral stakeholders to the national SDG 6.5.1 survey. This section contains guidance on possible </w:t>
      </w:r>
      <w:r w:rsidRPr="00357599">
        <w:rPr>
          <w:rStyle w:val="normaltextrun"/>
          <w:rFonts w:cstheme="minorHAnsi"/>
          <w:i/>
          <w:iCs/>
          <w:lang w:val="en-GB"/>
        </w:rPr>
        <w:t>sequencing</w:t>
      </w:r>
      <w:r w:rsidRPr="00357599">
        <w:rPr>
          <w:rStyle w:val="normaltextrun"/>
          <w:rFonts w:cstheme="minorHAnsi"/>
          <w:lang w:val="en-GB"/>
        </w:rPr>
        <w:t xml:space="preserve">, </w:t>
      </w:r>
      <w:r w:rsidRPr="00357599">
        <w:rPr>
          <w:rStyle w:val="normaltextrun"/>
          <w:rFonts w:cstheme="minorHAnsi"/>
          <w:i/>
          <w:iCs/>
          <w:lang w:val="en-GB"/>
        </w:rPr>
        <w:t>formats</w:t>
      </w:r>
      <w:r w:rsidRPr="00357599">
        <w:rPr>
          <w:rStyle w:val="normaltextrun"/>
          <w:rFonts w:cstheme="minorHAnsi"/>
          <w:lang w:val="en-GB"/>
        </w:rPr>
        <w:t xml:space="preserve">, and </w:t>
      </w:r>
      <w:r w:rsidRPr="00357599">
        <w:rPr>
          <w:rStyle w:val="normaltextrun"/>
          <w:rFonts w:cstheme="minorHAnsi"/>
          <w:i/>
          <w:iCs/>
          <w:lang w:val="en-GB"/>
        </w:rPr>
        <w:t>best practices</w:t>
      </w:r>
      <w:r w:rsidRPr="00357599">
        <w:rPr>
          <w:rStyle w:val="normaltextrun"/>
          <w:rFonts w:cstheme="minorHAnsi"/>
          <w:lang w:val="en-GB"/>
        </w:rPr>
        <w:t xml:space="preserve"> to ensure an inclusive and participatory process, depending on the country context, </w:t>
      </w:r>
      <w:proofErr w:type="gramStart"/>
      <w:r w:rsidRPr="00357599">
        <w:rPr>
          <w:rStyle w:val="normaltextrun"/>
          <w:rFonts w:cstheme="minorHAnsi"/>
          <w:lang w:val="en-GB"/>
        </w:rPr>
        <w:t>preferences</w:t>
      </w:r>
      <w:proofErr w:type="gramEnd"/>
      <w:r w:rsidRPr="00357599">
        <w:rPr>
          <w:rStyle w:val="normaltextrun"/>
          <w:rFonts w:cstheme="minorHAnsi"/>
          <w:lang w:val="en-GB"/>
        </w:rPr>
        <w:t xml:space="preserve"> and resource availability.</w:t>
      </w:r>
    </w:p>
    <w:p w14:paraId="51115BE9" w14:textId="77777777" w:rsidR="00357599" w:rsidRPr="00EB3205" w:rsidRDefault="00357599" w:rsidP="00357599">
      <w:pPr>
        <w:pStyle w:val="Header3"/>
        <w:rPr>
          <w:lang w:val="en-GB"/>
        </w:rPr>
      </w:pPr>
      <w:r w:rsidRPr="00EB3205">
        <w:rPr>
          <w:lang w:val="en-GB"/>
        </w:rPr>
        <w:t>Possible sequencing of the stakeholder consultation</w:t>
      </w:r>
    </w:p>
    <w:p w14:paraId="21FFE877" w14:textId="77777777" w:rsidR="00357599" w:rsidRPr="00EB3205" w:rsidRDefault="00357599" w:rsidP="00357599">
      <w:pPr>
        <w:pStyle w:val="Body"/>
        <w:jc w:val="both"/>
        <w:rPr>
          <w:rStyle w:val="normaltextrun"/>
          <w:rFonts w:cstheme="minorHAnsi"/>
          <w:lang w:val="en-GB"/>
        </w:rPr>
      </w:pPr>
      <w:r w:rsidRPr="00EB3205">
        <w:rPr>
          <w:rFonts w:cstheme="minorHAnsi"/>
          <w:lang w:val="en-GB"/>
        </w:rPr>
        <w:t>The consultation may take place in one or more consultations, with different stakeholders consulted at different times. Based on experiences from previous reporting rounds (2017 and 2020), it is suggested that c</w:t>
      </w:r>
      <w:r w:rsidRPr="00EB3205">
        <w:rPr>
          <w:rFonts w:eastAsia="Times New Roman" w:cstheme="minorHAnsi"/>
          <w:lang w:val="en-GB" w:eastAsia="en-GB"/>
        </w:rPr>
        <w:t>onsultations may for instance be developed ‘</w:t>
      </w:r>
      <w:r w:rsidRPr="00EB3205">
        <w:rPr>
          <w:rFonts w:eastAsia="Times New Roman" w:cstheme="minorHAnsi"/>
          <w:b/>
          <w:bCs/>
          <w:lang w:val="en-GB" w:eastAsia="en-GB"/>
        </w:rPr>
        <w:t>in series</w:t>
      </w:r>
      <w:r w:rsidRPr="00EB3205">
        <w:rPr>
          <w:rFonts w:eastAsia="Times New Roman" w:cstheme="minorHAnsi"/>
          <w:lang w:val="en-GB" w:eastAsia="en-GB"/>
        </w:rPr>
        <w:t>’ or ‘</w:t>
      </w:r>
      <w:r w:rsidRPr="00EB3205">
        <w:rPr>
          <w:rFonts w:eastAsia="Times New Roman" w:cstheme="minorHAnsi"/>
          <w:b/>
          <w:bCs/>
          <w:lang w:val="en-GB" w:eastAsia="en-GB"/>
        </w:rPr>
        <w:t>in parallel</w:t>
      </w:r>
      <w:r w:rsidRPr="00EB3205">
        <w:rPr>
          <w:rFonts w:eastAsia="Times New Roman" w:cstheme="minorHAnsi"/>
          <w:lang w:val="en-GB" w:eastAsia="en-GB"/>
        </w:rPr>
        <w:t xml:space="preserve">’, or a </w:t>
      </w:r>
      <w:r w:rsidRPr="00EB3205">
        <w:rPr>
          <w:rFonts w:eastAsia="Times New Roman" w:cstheme="minorHAnsi"/>
          <w:b/>
          <w:bCs/>
          <w:lang w:val="en-GB" w:eastAsia="en-GB"/>
        </w:rPr>
        <w:t>combination</w:t>
      </w:r>
      <w:r w:rsidRPr="00EB3205">
        <w:rPr>
          <w:rFonts w:eastAsia="Times New Roman" w:cstheme="minorHAnsi"/>
          <w:lang w:val="en-GB" w:eastAsia="en-GB"/>
        </w:rPr>
        <w:t xml:space="preserve"> of these approaches. These modalities are presented below. </w:t>
      </w:r>
    </w:p>
    <w:p w14:paraId="7185E981" w14:textId="77777777" w:rsidR="00357599" w:rsidRPr="00357599" w:rsidRDefault="00357599" w:rsidP="00357599">
      <w:pPr>
        <w:pStyle w:val="Body"/>
        <w:jc w:val="both"/>
        <w:rPr>
          <w:rStyle w:val="normaltextrun"/>
          <w:rFonts w:cstheme="minorHAnsi"/>
          <w:b/>
          <w:bCs/>
          <w:lang w:val="en-GB"/>
        </w:rPr>
      </w:pPr>
      <w:r w:rsidRPr="00357599">
        <w:rPr>
          <w:rStyle w:val="normaltextrun"/>
          <w:rFonts w:cstheme="minorHAnsi"/>
          <w:b/>
          <w:bCs/>
          <w:lang w:val="en-GB"/>
        </w:rPr>
        <w:t>Series Approach</w:t>
      </w:r>
      <w:r w:rsidRPr="00357599">
        <w:rPr>
          <w:rStyle w:val="normaltextrun"/>
          <w:rFonts w:cstheme="minorHAnsi"/>
          <w:lang w:val="en-GB"/>
        </w:rPr>
        <w:t>: consecutive drafts of the survey are developed with different stakeholder groups</w:t>
      </w:r>
      <w:r w:rsidRPr="00357599">
        <w:rPr>
          <w:rStyle w:val="normaltextrun"/>
          <w:rFonts w:cstheme="minorHAnsi"/>
          <w:b/>
          <w:bCs/>
          <w:lang w:val="en-GB"/>
        </w:rPr>
        <w:t xml:space="preserve">. </w:t>
      </w:r>
    </w:p>
    <w:p w14:paraId="2BA46177" w14:textId="4AB9974E" w:rsidR="008E2EB5" w:rsidRPr="00EB3205" w:rsidRDefault="00357599" w:rsidP="00357599">
      <w:pPr>
        <w:pStyle w:val="Body"/>
        <w:jc w:val="both"/>
        <w:rPr>
          <w:rFonts w:cstheme="minorHAnsi"/>
          <w:lang w:val="en-GB"/>
        </w:rPr>
      </w:pPr>
      <w:r w:rsidRPr="00357599">
        <w:rPr>
          <w:rStyle w:val="normaltextrun"/>
          <w:rFonts w:cstheme="minorHAnsi"/>
          <w:i/>
          <w:iCs/>
          <w:lang w:val="en-GB"/>
        </w:rPr>
        <w:t>For example, a first draft may be developed by a few key government institutions, a second draft discussed within a wider group of government institutions, and a third draft endorsed by other stakeholders</w:t>
      </w:r>
      <w:r>
        <w:rPr>
          <w:rStyle w:val="normaltextrun"/>
          <w:rFonts w:cstheme="minorHAnsi"/>
          <w:i/>
          <w:iCs/>
          <w:lang w:val="en-GB"/>
        </w:rPr>
        <w:t>:</w:t>
      </w:r>
    </w:p>
    <w:p w14:paraId="4CEE5AAF" w14:textId="623394C4" w:rsidR="00357599" w:rsidRDefault="00342022" w:rsidP="00357599">
      <w:pPr>
        <w:pStyle w:val="Body"/>
        <w:jc w:val="both"/>
        <w:rPr>
          <w:rFonts w:cstheme="minorHAnsi"/>
        </w:rPr>
      </w:pPr>
      <w:r>
        <w:rPr>
          <w:noProof/>
          <w:lang w:val="en-US"/>
        </w:rPr>
        <w:drawing>
          <wp:inline distT="0" distB="0" distL="0" distR="0" wp14:anchorId="6FDEFDCA" wp14:editId="364A3D6D">
            <wp:extent cx="5731510" cy="1283335"/>
            <wp:effectExtent l="19050" t="19050" r="21590" b="50165"/>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7" r:lo="rId38" r:qs="rId39" r:cs="rId40"/>
              </a:graphicData>
            </a:graphic>
          </wp:inline>
        </w:drawing>
      </w:r>
    </w:p>
    <w:p w14:paraId="7863ADDB" w14:textId="77777777" w:rsidR="00342022" w:rsidRPr="00EB3205" w:rsidRDefault="00342022" w:rsidP="00342022">
      <w:pPr>
        <w:pStyle w:val="Body"/>
        <w:jc w:val="both"/>
        <w:rPr>
          <w:rFonts w:cstheme="minorHAnsi"/>
          <w:i/>
          <w:sz w:val="20"/>
          <w:lang w:val="en-GB"/>
        </w:rPr>
      </w:pPr>
      <w:r w:rsidRPr="00EB3205">
        <w:rPr>
          <w:rFonts w:cstheme="minorHAnsi"/>
          <w:i/>
          <w:sz w:val="20"/>
          <w:lang w:val="en-GB"/>
        </w:rPr>
        <w:t>Figure 2: Example visualization of a series approach to stakeholder consultation</w:t>
      </w:r>
    </w:p>
    <w:p w14:paraId="18F31BF4" w14:textId="77777777" w:rsidR="00342022" w:rsidRPr="00342022" w:rsidRDefault="00342022" w:rsidP="00342022">
      <w:pPr>
        <w:pStyle w:val="Body"/>
        <w:jc w:val="both"/>
        <w:rPr>
          <w:rStyle w:val="normaltextrun"/>
          <w:rFonts w:cstheme="minorHAnsi"/>
          <w:b/>
          <w:bCs/>
          <w:lang w:val="en-GB"/>
        </w:rPr>
      </w:pPr>
      <w:r w:rsidRPr="00342022">
        <w:rPr>
          <w:rStyle w:val="normaltextrun"/>
          <w:rFonts w:cstheme="minorHAnsi"/>
          <w:b/>
          <w:bCs/>
          <w:lang w:val="en-GB"/>
        </w:rPr>
        <w:t>Parallel Approach</w:t>
      </w:r>
      <w:r w:rsidRPr="00342022">
        <w:rPr>
          <w:rStyle w:val="normaltextrun"/>
          <w:rFonts w:cstheme="minorHAnsi"/>
          <w:lang w:val="en-GB"/>
        </w:rPr>
        <w:t xml:space="preserve">: different stakeholder groups fill in a blank survey, then responses are analysed by the Focal Point/facilitator, after which agreement is reached on scores. </w:t>
      </w:r>
    </w:p>
    <w:p w14:paraId="6F19D31F" w14:textId="41842CBE" w:rsidR="00357599" w:rsidRDefault="00342022" w:rsidP="00342022">
      <w:pPr>
        <w:pStyle w:val="Body"/>
        <w:jc w:val="both"/>
        <w:rPr>
          <w:rStyle w:val="normaltextrun"/>
          <w:rFonts w:cstheme="minorHAnsi"/>
          <w:lang w:val="en-GB"/>
        </w:rPr>
      </w:pPr>
      <w:r w:rsidRPr="00342022">
        <w:rPr>
          <w:rStyle w:val="normaltextrun"/>
          <w:rFonts w:cstheme="minorHAnsi"/>
          <w:lang w:val="en-GB"/>
        </w:rPr>
        <w:t xml:space="preserve">This may be done through one or more facilitated workshops, where different perspectives are </w:t>
      </w:r>
      <w:proofErr w:type="gramStart"/>
      <w:r w:rsidRPr="00342022">
        <w:rPr>
          <w:rStyle w:val="normaltextrun"/>
          <w:rFonts w:cstheme="minorHAnsi"/>
          <w:lang w:val="en-GB"/>
        </w:rPr>
        <w:t>taken into account</w:t>
      </w:r>
      <w:proofErr w:type="gramEnd"/>
      <w:r w:rsidRPr="00342022">
        <w:rPr>
          <w:rStyle w:val="normaltextrun"/>
          <w:rFonts w:cstheme="minorHAnsi"/>
          <w:lang w:val="en-GB"/>
        </w:rPr>
        <w:t xml:space="preserve">. If consensus cannot be reached on any </w:t>
      </w:r>
      <w:proofErr w:type="gramStart"/>
      <w:r w:rsidRPr="00342022">
        <w:rPr>
          <w:rStyle w:val="normaltextrun"/>
          <w:rFonts w:cstheme="minorHAnsi"/>
          <w:lang w:val="en-GB"/>
        </w:rPr>
        <w:t>particular question</w:t>
      </w:r>
      <w:proofErr w:type="gramEnd"/>
      <w:r w:rsidRPr="00342022">
        <w:rPr>
          <w:rStyle w:val="normaltextrun"/>
          <w:rFonts w:cstheme="minorHAnsi"/>
          <w:lang w:val="en-GB"/>
        </w:rPr>
        <w:t>, follow-up consultation with a small focus group could be established within a reasonable timeframe to reach an agreement on the score to be used. This is also important in cases where not all relevant stakeholders are able to attend the workshop(s).</w:t>
      </w:r>
    </w:p>
    <w:p w14:paraId="670A5662" w14:textId="2F8F7E7A" w:rsidR="00D57092" w:rsidRDefault="00D57092" w:rsidP="00342022">
      <w:pPr>
        <w:pStyle w:val="Body"/>
        <w:jc w:val="both"/>
        <w:rPr>
          <w:rFonts w:cstheme="minorHAnsi"/>
          <w:b/>
          <w:bCs/>
        </w:rPr>
      </w:pPr>
      <w:r>
        <w:rPr>
          <w:noProof/>
          <w:lang w:val="en-US"/>
        </w:rPr>
        <w:drawing>
          <wp:inline distT="0" distB="0" distL="0" distR="0" wp14:anchorId="2EF3CE4F" wp14:editId="3DA52331">
            <wp:extent cx="5609590" cy="1307464"/>
            <wp:effectExtent l="19050" t="0" r="48260" b="0"/>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2" r:lo="rId43" r:qs="rId44" r:cs="rId45"/>
              </a:graphicData>
            </a:graphic>
          </wp:inline>
        </w:drawing>
      </w:r>
    </w:p>
    <w:p w14:paraId="0B8AA6AC" w14:textId="77777777" w:rsidR="00D57092" w:rsidRPr="00D57092" w:rsidRDefault="00D57092" w:rsidP="00D57092">
      <w:pPr>
        <w:pStyle w:val="Caption"/>
        <w:spacing w:after="120"/>
        <w:rPr>
          <w:color w:val="12354E" w:themeColor="accent1" w:themeShade="BF"/>
          <w:sz w:val="20"/>
          <w:szCs w:val="20"/>
        </w:rPr>
      </w:pPr>
      <w:r w:rsidRPr="00D57092">
        <w:rPr>
          <w:color w:val="12354E" w:themeColor="accent1" w:themeShade="BF"/>
          <w:sz w:val="20"/>
          <w:szCs w:val="20"/>
        </w:rPr>
        <w:t xml:space="preserve">Figure 3: Overview of the possible development of the process using a parallel </w:t>
      </w:r>
      <w:proofErr w:type="gramStart"/>
      <w:r w:rsidRPr="00D57092">
        <w:rPr>
          <w:color w:val="12354E" w:themeColor="accent1" w:themeShade="BF"/>
          <w:sz w:val="20"/>
          <w:szCs w:val="20"/>
        </w:rPr>
        <w:t>approach</w:t>
      </w:r>
      <w:proofErr w:type="gramEnd"/>
    </w:p>
    <w:p w14:paraId="69A82907" w14:textId="5529054D" w:rsidR="00342022" w:rsidRPr="00342022" w:rsidRDefault="00342022" w:rsidP="00342022">
      <w:pPr>
        <w:pStyle w:val="Body"/>
        <w:jc w:val="both"/>
        <w:rPr>
          <w:rStyle w:val="normaltextrun"/>
          <w:rFonts w:cstheme="minorHAnsi"/>
          <w:b/>
          <w:bCs/>
          <w:lang w:val="en-GB"/>
        </w:rPr>
      </w:pPr>
      <w:r w:rsidRPr="00342022">
        <w:rPr>
          <w:rStyle w:val="normaltextrun"/>
          <w:rFonts w:cstheme="minorHAnsi"/>
          <w:b/>
          <w:bCs/>
          <w:lang w:val="en-GB"/>
        </w:rPr>
        <w:lastRenderedPageBreak/>
        <w:t>Mixed Approach</w:t>
      </w:r>
      <w:r w:rsidRPr="00342022">
        <w:rPr>
          <w:rStyle w:val="normaltextrun"/>
          <w:rFonts w:cstheme="minorHAnsi"/>
          <w:lang w:val="en-GB"/>
        </w:rPr>
        <w:t xml:space="preserve">: different combinations between the series approach and parallel approach may be employed, or countries may design alternative processes most suitable for their national circumstances. </w:t>
      </w:r>
    </w:p>
    <w:p w14:paraId="35D20FA6" w14:textId="4F4BD2B1" w:rsidR="00342022" w:rsidRPr="00EB3205" w:rsidRDefault="00342022" w:rsidP="00342022">
      <w:pPr>
        <w:pStyle w:val="Body"/>
        <w:jc w:val="both"/>
        <w:rPr>
          <w:rFonts w:cstheme="minorHAnsi"/>
          <w:lang w:val="en-GB"/>
        </w:rPr>
      </w:pPr>
      <w:r w:rsidRPr="00342022">
        <w:rPr>
          <w:rStyle w:val="normaltextrun"/>
          <w:rFonts w:cstheme="minorHAnsi"/>
          <w:u w:val="single"/>
          <w:lang w:val="en-GB"/>
        </w:rPr>
        <w:t>Regardless of the approach, the stakeholder consultation process should result in a single, consolidated version of the 6.5.1 survey response</w:t>
      </w:r>
      <w:r w:rsidRPr="00342022">
        <w:rPr>
          <w:rStyle w:val="normaltextrun"/>
          <w:rFonts w:cstheme="minorHAnsi"/>
          <w:lang w:val="en-GB"/>
        </w:rPr>
        <w:t xml:space="preserve"> to be submitted to UNEP on behalf of the country within the established timeline.</w:t>
      </w:r>
    </w:p>
    <w:p w14:paraId="56AF1DDB" w14:textId="77777777" w:rsidR="00342022" w:rsidRPr="00EB3205" w:rsidRDefault="00342022" w:rsidP="00342022">
      <w:pPr>
        <w:pStyle w:val="Header3"/>
        <w:rPr>
          <w:rFonts w:eastAsia="Calibri"/>
          <w:color w:val="000000" w:themeColor="text1"/>
          <w:sz w:val="22"/>
          <w:lang w:val="en-GB"/>
        </w:rPr>
      </w:pPr>
      <w:r w:rsidRPr="00EB3205">
        <w:rPr>
          <w:lang w:val="en-GB"/>
        </w:rPr>
        <w:t>Possible formats: In-person vs online vs hybrid consultations</w:t>
      </w:r>
    </w:p>
    <w:p w14:paraId="17195080" w14:textId="77777777" w:rsidR="00342022" w:rsidRPr="008F0094" w:rsidRDefault="00342022" w:rsidP="008F0094">
      <w:pPr>
        <w:spacing w:after="120"/>
        <w:jc w:val="both"/>
        <w:rPr>
          <w:rFonts w:eastAsia="Calibri" w:cstheme="minorHAnsi"/>
          <w:color w:val="12354E" w:themeColor="accent1" w:themeShade="BF"/>
        </w:rPr>
      </w:pPr>
      <w:r w:rsidRPr="008F0094">
        <w:rPr>
          <w:rFonts w:eastAsia="Calibri" w:cstheme="minorHAnsi"/>
          <w:color w:val="12354E" w:themeColor="accent1" w:themeShade="BF"/>
        </w:rPr>
        <w:t xml:space="preserve">It is important to define whether consultation should take place in-person, in an online setting or in a hybrid format, considering resources available and time constraints. </w:t>
      </w:r>
    </w:p>
    <w:p w14:paraId="4131EE3B" w14:textId="77777777" w:rsidR="00342022" w:rsidRPr="008F0094" w:rsidRDefault="00342022" w:rsidP="008F0094">
      <w:pPr>
        <w:spacing w:after="120"/>
        <w:jc w:val="both"/>
        <w:rPr>
          <w:rFonts w:eastAsia="Calibri" w:cstheme="minorHAnsi"/>
          <w:b/>
          <w:bCs/>
          <w:color w:val="12354E" w:themeColor="accent1" w:themeShade="BF"/>
        </w:rPr>
      </w:pPr>
      <w:r w:rsidRPr="008F0094">
        <w:rPr>
          <w:rFonts w:eastAsia="Calibri" w:cstheme="minorHAnsi"/>
          <w:b/>
          <w:bCs/>
          <w:color w:val="12354E" w:themeColor="accent1" w:themeShade="BF"/>
        </w:rPr>
        <w:t>In-person consultation</w:t>
      </w:r>
    </w:p>
    <w:p w14:paraId="47766DA1" w14:textId="283F0D1C" w:rsidR="00342022" w:rsidRPr="00EB3205" w:rsidRDefault="00342022" w:rsidP="008F0094">
      <w:pPr>
        <w:pStyle w:val="Body"/>
        <w:jc w:val="both"/>
        <w:rPr>
          <w:color w:val="auto"/>
          <w:lang w:val="en-GB"/>
        </w:rPr>
      </w:pPr>
      <w:r w:rsidRPr="00EB3205">
        <w:rPr>
          <w:lang w:val="en-GB"/>
        </w:rPr>
        <w:t xml:space="preserve">In-person consultations typically take the form of one or several workshops. The workshop(s) should ideally be held at an accessible venue which allows for full and meaningful participation by all relevant stakeholders. In addition to in-person workshops, semi-structured in-person </w:t>
      </w:r>
      <w:r w:rsidRPr="002B1B0C">
        <w:rPr>
          <w:lang w:val="en-GB"/>
        </w:rPr>
        <w:t xml:space="preserve">consultations may be held. This could for instance include targeted interviews with a handful of key individuals, to get a broader understanding of where a country’s opportunities and challenges lie on any </w:t>
      </w:r>
      <w:proofErr w:type="gramStart"/>
      <w:r w:rsidRPr="002B1B0C">
        <w:rPr>
          <w:lang w:val="en-GB"/>
        </w:rPr>
        <w:t>particular question</w:t>
      </w:r>
      <w:proofErr w:type="gramEnd"/>
      <w:r w:rsidRPr="002B1B0C">
        <w:rPr>
          <w:lang w:val="en-GB"/>
        </w:rPr>
        <w:t xml:space="preserve"> in the 6.5.1 survey.  An example of a workshop agenda is provided in </w:t>
      </w:r>
      <w:hyperlink r:id="rId47" w:history="1">
        <w:r w:rsidRPr="002B1B0C">
          <w:rPr>
            <w:rStyle w:val="Hyperlink"/>
            <w:i/>
            <w:iCs/>
            <w:lang w:val="en-GB"/>
          </w:rPr>
          <w:t>Annex 2</w:t>
        </w:r>
      </w:hyperlink>
      <w:r w:rsidRPr="002B1B0C">
        <w:rPr>
          <w:lang w:val="en-GB"/>
        </w:rPr>
        <w:t>, which</w:t>
      </w:r>
      <w:r w:rsidRPr="00EB3205">
        <w:rPr>
          <w:lang w:val="en-GB"/>
        </w:rPr>
        <w:t xml:space="preserve"> can be adapted to fit online or hybrid settings.</w:t>
      </w:r>
    </w:p>
    <w:p w14:paraId="25589B59" w14:textId="77777777" w:rsidR="00342022" w:rsidRPr="00342022" w:rsidRDefault="00342022" w:rsidP="00342022">
      <w:pPr>
        <w:spacing w:after="120"/>
        <w:jc w:val="both"/>
        <w:rPr>
          <w:rFonts w:ascii="Calibri" w:eastAsia="Calibri" w:hAnsi="Calibri" w:cs="Calibri"/>
          <w:color w:val="12354E" w:themeColor="accent1" w:themeShade="BF"/>
        </w:rPr>
      </w:pPr>
      <w:r w:rsidRPr="00342022">
        <w:rPr>
          <w:rFonts w:ascii="Calibri" w:eastAsia="Calibri" w:hAnsi="Calibri" w:cs="Calibri"/>
          <w:b/>
          <w:bCs/>
          <w:color w:val="12354E" w:themeColor="accent1" w:themeShade="BF"/>
        </w:rPr>
        <w:t>Online consultation</w:t>
      </w:r>
    </w:p>
    <w:p w14:paraId="534C6159" w14:textId="77777777" w:rsidR="00342022" w:rsidRPr="008F0094" w:rsidRDefault="00342022" w:rsidP="008F0094">
      <w:pPr>
        <w:pStyle w:val="Body"/>
        <w:jc w:val="both"/>
        <w:rPr>
          <w:rFonts w:ascii="Calibri" w:hAnsi="Calibri" w:cs="Calibri"/>
          <w:lang w:val="en-GB"/>
        </w:rPr>
      </w:pPr>
      <w:r w:rsidRPr="008F0094">
        <w:rPr>
          <w:rFonts w:ascii="Calibri" w:hAnsi="Calibri" w:cs="Calibri"/>
          <w:lang w:val="en-GB"/>
        </w:rPr>
        <w:t xml:space="preserve">Online consultations may be fruitful to increase the number of stakeholders that take part in the process. However, facilitators should be aware that virtual meetings could be difficult for certain stakeholder groups to take part in, so it is important to recognise these challenges. Online workshops should ideally be no more than 3-4 hours in one day, to ensure that participants maintain full focus. </w:t>
      </w:r>
    </w:p>
    <w:p w14:paraId="343F8021" w14:textId="77777777" w:rsidR="00342022" w:rsidRPr="008F0094" w:rsidRDefault="00342022" w:rsidP="008F0094">
      <w:pPr>
        <w:pStyle w:val="Body"/>
        <w:jc w:val="both"/>
        <w:rPr>
          <w:rFonts w:ascii="Calibri" w:hAnsi="Calibri" w:cs="Calibri"/>
          <w:lang w:val="en-GB"/>
        </w:rPr>
      </w:pPr>
      <w:r w:rsidRPr="008F0094">
        <w:rPr>
          <w:rFonts w:ascii="Calibri" w:hAnsi="Calibri" w:cs="Calibri"/>
          <w:lang w:val="en-GB"/>
        </w:rPr>
        <w:t>A range of suggestions for online consultation processes are provided below, and may be combined as required, to make use of a more efficient online stakeholder consultation process:</w:t>
      </w:r>
    </w:p>
    <w:p w14:paraId="032341F1" w14:textId="77777777" w:rsidR="00342022" w:rsidRPr="008F0094" w:rsidRDefault="00342022" w:rsidP="00FA42CA">
      <w:pPr>
        <w:pStyle w:val="ListParagraph"/>
        <w:numPr>
          <w:ilvl w:val="0"/>
          <w:numId w:val="5"/>
        </w:numPr>
        <w:spacing w:after="120"/>
        <w:jc w:val="both"/>
        <w:rPr>
          <w:rFonts w:ascii="Calibri" w:eastAsia="Calibri" w:hAnsi="Calibri" w:cs="Calibri"/>
          <w:color w:val="194869" w:themeColor="accent1"/>
          <w:lang w:val="en-GB"/>
        </w:rPr>
      </w:pPr>
      <w:r w:rsidRPr="008F0094">
        <w:rPr>
          <w:rFonts w:ascii="Calibri" w:eastAsia="Calibri" w:hAnsi="Calibri" w:cs="Calibri"/>
          <w:b/>
          <w:bCs/>
          <w:color w:val="194869" w:themeColor="accent1"/>
          <w:lang w:val="en-GB"/>
        </w:rPr>
        <w:t>Orientation workshop(s)</w:t>
      </w:r>
      <w:r w:rsidRPr="008F0094">
        <w:rPr>
          <w:rFonts w:ascii="Calibri" w:eastAsia="Calibri" w:hAnsi="Calibri" w:cs="Calibri"/>
          <w:color w:val="194869" w:themeColor="accent1"/>
          <w:lang w:val="en-GB"/>
        </w:rPr>
        <w:t>: An informative online webinar could be held to share the objectives of the reporting process, the country’s previous SDG 6.5.1 score, and to describe the process to be followed.</w:t>
      </w:r>
    </w:p>
    <w:p w14:paraId="7AA566C1" w14:textId="77777777" w:rsidR="00342022" w:rsidRPr="008F0094" w:rsidRDefault="00342022" w:rsidP="00FA42CA">
      <w:pPr>
        <w:pStyle w:val="ListParagraph"/>
        <w:numPr>
          <w:ilvl w:val="0"/>
          <w:numId w:val="5"/>
        </w:numPr>
        <w:spacing w:after="120"/>
        <w:jc w:val="both"/>
        <w:rPr>
          <w:rFonts w:ascii="Calibri" w:eastAsia="Calibri" w:hAnsi="Calibri" w:cs="Calibri"/>
          <w:color w:val="194869" w:themeColor="accent1"/>
          <w:lang w:val="en-GB"/>
        </w:rPr>
      </w:pPr>
      <w:r w:rsidRPr="008F0094">
        <w:rPr>
          <w:rFonts w:ascii="Calibri" w:eastAsia="Calibri" w:hAnsi="Calibri" w:cs="Calibri"/>
          <w:b/>
          <w:bCs/>
          <w:color w:val="194869" w:themeColor="accent1"/>
          <w:lang w:val="en-GB"/>
        </w:rPr>
        <w:t>Emailed inputs</w:t>
      </w:r>
      <w:r w:rsidRPr="008F0094">
        <w:rPr>
          <w:rFonts w:ascii="Calibri" w:eastAsia="Calibri" w:hAnsi="Calibri" w:cs="Calibri"/>
          <w:color w:val="194869" w:themeColor="accent1"/>
          <w:lang w:val="en-GB"/>
        </w:rPr>
        <w:t xml:space="preserve">: this may involve asking various stakeholders to complete either the whole survey, or certain sections or questions in the survey, depending on relevance. </w:t>
      </w:r>
    </w:p>
    <w:p w14:paraId="366400C3" w14:textId="77777777" w:rsidR="00342022" w:rsidRPr="008F0094" w:rsidRDefault="00342022" w:rsidP="00FA42CA">
      <w:pPr>
        <w:pStyle w:val="ListParagraph"/>
        <w:numPr>
          <w:ilvl w:val="0"/>
          <w:numId w:val="5"/>
        </w:numPr>
        <w:spacing w:after="120"/>
        <w:jc w:val="both"/>
        <w:rPr>
          <w:rFonts w:ascii="Calibri" w:eastAsia="Calibri" w:hAnsi="Calibri" w:cs="Calibri"/>
          <w:color w:val="194869" w:themeColor="accent1"/>
          <w:lang w:val="en-GB"/>
        </w:rPr>
      </w:pPr>
      <w:r w:rsidRPr="008F0094">
        <w:rPr>
          <w:rFonts w:ascii="Calibri" w:eastAsia="Calibri" w:hAnsi="Calibri" w:cs="Calibri"/>
          <w:b/>
          <w:bCs/>
          <w:color w:val="194869" w:themeColor="accent1"/>
          <w:lang w:val="en-GB"/>
        </w:rPr>
        <w:t>Focus groups</w:t>
      </w:r>
      <w:r w:rsidRPr="008F0094">
        <w:rPr>
          <w:rStyle w:val="FootnoteReference"/>
          <w:rFonts w:ascii="Calibri" w:eastAsia="Calibri" w:hAnsi="Calibri" w:cs="Calibri"/>
          <w:b/>
          <w:bCs/>
          <w:color w:val="194869" w:themeColor="accent1"/>
          <w:lang w:val="en-GB"/>
        </w:rPr>
        <w:footnoteReference w:id="2"/>
      </w:r>
      <w:r w:rsidRPr="008F0094">
        <w:rPr>
          <w:rFonts w:ascii="Calibri" w:eastAsia="Calibri" w:hAnsi="Calibri" w:cs="Calibri"/>
          <w:color w:val="194869" w:themeColor="accent1"/>
          <w:lang w:val="en-GB"/>
        </w:rPr>
        <w:t>: Smaller online stakeholder group workshops could be set up to discuss individual questions or groups of questions from the survey.</w:t>
      </w:r>
    </w:p>
    <w:p w14:paraId="357E12FB" w14:textId="77777777" w:rsidR="00342022" w:rsidRPr="008F0094" w:rsidRDefault="00342022" w:rsidP="00FA42CA">
      <w:pPr>
        <w:pStyle w:val="ListParagraph"/>
        <w:numPr>
          <w:ilvl w:val="0"/>
          <w:numId w:val="5"/>
        </w:numPr>
        <w:spacing w:after="120"/>
        <w:jc w:val="both"/>
        <w:rPr>
          <w:rFonts w:ascii="Calibri" w:eastAsia="Calibri" w:hAnsi="Calibri" w:cs="Calibri"/>
          <w:color w:val="194869" w:themeColor="accent1"/>
          <w:lang w:val="en-GB"/>
        </w:rPr>
      </w:pPr>
      <w:r w:rsidRPr="008F0094">
        <w:rPr>
          <w:rFonts w:ascii="Calibri" w:eastAsia="Calibri" w:hAnsi="Calibri" w:cs="Calibri"/>
          <w:b/>
          <w:bCs/>
          <w:color w:val="194869" w:themeColor="accent1"/>
          <w:lang w:val="en-GB"/>
        </w:rPr>
        <w:t>Discussion fora</w:t>
      </w:r>
      <w:r w:rsidRPr="008F0094">
        <w:rPr>
          <w:rFonts w:ascii="Calibri" w:eastAsia="Calibri" w:hAnsi="Calibri" w:cs="Calibri"/>
          <w:color w:val="194869" w:themeColor="accent1"/>
          <w:lang w:val="en-GB"/>
        </w:rPr>
        <w:t xml:space="preserve">: Key questions can be put to consultation by a larger but still selected stakeholder group, potentially through a pre-registration process. This can allow a </w:t>
      </w:r>
      <w:r w:rsidRPr="008F0094">
        <w:rPr>
          <w:rFonts w:ascii="Calibri" w:eastAsia="Calibri" w:hAnsi="Calibri" w:cs="Calibri"/>
          <w:color w:val="194869" w:themeColor="accent1"/>
          <w:lang w:val="en-GB"/>
        </w:rPr>
        <w:lastRenderedPageBreak/>
        <w:t>much deeper dive into key aspects that can foster a shared understanding between a larger number of participants.</w:t>
      </w:r>
    </w:p>
    <w:p w14:paraId="40AAEE5E" w14:textId="1002DE62" w:rsidR="00342022" w:rsidRPr="002B1B0C" w:rsidRDefault="00342022" w:rsidP="00FA42CA">
      <w:pPr>
        <w:pStyle w:val="ListParagraph"/>
        <w:numPr>
          <w:ilvl w:val="0"/>
          <w:numId w:val="5"/>
        </w:numPr>
        <w:spacing w:after="120"/>
        <w:jc w:val="both"/>
        <w:rPr>
          <w:rFonts w:ascii="Calibri" w:eastAsia="Calibri" w:hAnsi="Calibri" w:cs="Calibri"/>
          <w:lang w:val="en-GB"/>
        </w:rPr>
      </w:pPr>
      <w:r w:rsidRPr="00342022">
        <w:rPr>
          <w:rFonts w:ascii="Calibri" w:eastAsia="Calibri" w:hAnsi="Calibri" w:cs="Calibri"/>
          <w:b/>
          <w:bCs/>
          <w:lang w:val="en-GB"/>
        </w:rPr>
        <w:t>Online surveys</w:t>
      </w:r>
      <w:r w:rsidRPr="00342022">
        <w:rPr>
          <w:rFonts w:ascii="Calibri" w:eastAsia="Calibri" w:hAnsi="Calibri" w:cs="Calibri"/>
          <w:lang w:val="en-GB"/>
        </w:rPr>
        <w:t>: As a possible complement to deeper analyses, quantitative and qualitative feedback from a larger group may be possible through online survey platforms, such as the IWRM Survey Tool (</w:t>
      </w:r>
      <w:r w:rsidRPr="002B1B0C">
        <w:rPr>
          <w:rFonts w:ascii="Calibri" w:eastAsia="Calibri" w:hAnsi="Calibri" w:cs="Calibri"/>
          <w:lang w:val="en-GB"/>
        </w:rPr>
        <w:t xml:space="preserve">see </w:t>
      </w:r>
      <w:hyperlink r:id="rId48" w:history="1">
        <w:r w:rsidRPr="002B1B0C">
          <w:rPr>
            <w:rStyle w:val="Hyperlink"/>
            <w:rFonts w:ascii="Calibri" w:eastAsia="Calibri" w:hAnsi="Calibri" w:cs="Calibri"/>
            <w:i/>
            <w:iCs/>
            <w:lang w:val="en-GB"/>
          </w:rPr>
          <w:t>Annex 1</w:t>
        </w:r>
      </w:hyperlink>
      <w:r w:rsidRPr="002B1B0C">
        <w:rPr>
          <w:rFonts w:ascii="Calibri" w:eastAsia="Calibri" w:hAnsi="Calibri" w:cs="Calibri"/>
          <w:lang w:val="en-GB"/>
        </w:rPr>
        <w:t>).</w:t>
      </w:r>
    </w:p>
    <w:p w14:paraId="7887550D" w14:textId="77777777" w:rsidR="00342022" w:rsidRPr="00342022" w:rsidRDefault="00342022" w:rsidP="00FA42CA">
      <w:pPr>
        <w:pStyle w:val="ListParagraph"/>
        <w:numPr>
          <w:ilvl w:val="0"/>
          <w:numId w:val="5"/>
        </w:numPr>
        <w:spacing w:after="120"/>
        <w:jc w:val="both"/>
        <w:rPr>
          <w:rFonts w:ascii="Calibri" w:eastAsia="Calibri" w:hAnsi="Calibri" w:cs="Calibri"/>
          <w:lang w:val="en-GB"/>
        </w:rPr>
      </w:pPr>
      <w:r w:rsidRPr="00342022">
        <w:rPr>
          <w:rFonts w:ascii="Calibri" w:eastAsia="Calibri" w:hAnsi="Calibri" w:cs="Calibri"/>
          <w:b/>
          <w:bCs/>
          <w:lang w:val="en-GB"/>
        </w:rPr>
        <w:t>(Final) Online workshop(s)</w:t>
      </w:r>
      <w:r w:rsidRPr="00342022">
        <w:rPr>
          <w:rFonts w:ascii="Calibri" w:eastAsia="Calibri" w:hAnsi="Calibri" w:cs="Calibri"/>
          <w:lang w:val="en-GB"/>
        </w:rPr>
        <w:t xml:space="preserve">: The online format allows for a higher number of participants and broader participation. </w:t>
      </w:r>
    </w:p>
    <w:p w14:paraId="7AD6C9CE" w14:textId="77777777" w:rsidR="00342022" w:rsidRPr="00342022" w:rsidRDefault="00342022" w:rsidP="00342022">
      <w:pPr>
        <w:spacing w:after="120"/>
        <w:jc w:val="both"/>
        <w:rPr>
          <w:rFonts w:eastAsia="Calibri" w:cstheme="minorHAnsi"/>
          <w:color w:val="12354E" w:themeColor="accent1" w:themeShade="BF"/>
        </w:rPr>
      </w:pPr>
      <w:r w:rsidRPr="00342022">
        <w:rPr>
          <w:rFonts w:eastAsia="Calibri" w:cstheme="minorHAnsi"/>
          <w:color w:val="12354E" w:themeColor="accent1" w:themeShade="BF"/>
        </w:rPr>
        <w:t>It may be possible to run online workshops in a similar way as in-person workshops for up to a certain number of participants (</w:t>
      </w:r>
      <w:proofErr w:type="gramStart"/>
      <w:r w:rsidRPr="00342022">
        <w:rPr>
          <w:rFonts w:eastAsia="Calibri" w:cstheme="minorHAnsi"/>
          <w:color w:val="12354E" w:themeColor="accent1" w:themeShade="BF"/>
        </w:rPr>
        <w:t>e.g.</w:t>
      </w:r>
      <w:proofErr w:type="gramEnd"/>
      <w:r w:rsidRPr="00342022">
        <w:rPr>
          <w:rFonts w:eastAsia="Calibri" w:cstheme="minorHAnsi"/>
          <w:color w:val="12354E" w:themeColor="accent1" w:themeShade="BF"/>
        </w:rPr>
        <w:t xml:space="preserve"> 20-30). For larger number of participants, it is advised to plan for breakout groups and appoint additional moderators to ensure efficient participation in each group. Ideally, such workshop(s) would build on inputs provided through various mechanisms listed above. Workshop(s) should aim to reach consensus or agreement on the scores and free text responses for each of the questions. Workshops could be broken up over consecutive days, for example focusing on 1 or 2 sections of the survey at a time. </w:t>
      </w:r>
    </w:p>
    <w:p w14:paraId="1D08EE3B" w14:textId="77777777" w:rsidR="00342022" w:rsidRPr="00342022" w:rsidRDefault="00342022" w:rsidP="00342022">
      <w:pPr>
        <w:spacing w:after="120"/>
        <w:jc w:val="both"/>
        <w:rPr>
          <w:rFonts w:eastAsia="Calibri" w:cstheme="minorHAnsi"/>
          <w:color w:val="12354E" w:themeColor="accent1" w:themeShade="BF"/>
        </w:rPr>
      </w:pPr>
      <w:r w:rsidRPr="00342022">
        <w:rPr>
          <w:rFonts w:eastAsia="Calibri" w:cstheme="minorHAnsi"/>
          <w:color w:val="12354E" w:themeColor="accent1" w:themeShade="BF"/>
        </w:rPr>
        <w:t xml:space="preserve">A brief list of possible communication platforms and tools is provided below. Government departments and individuals are likely to have their preferred platforms, and there is no need to adopt new platforms if effective or known systems are already in place. For larger consultations, involvement of facilitators specialising in use of such tools might be beneficial. Examples of online tools: </w:t>
      </w:r>
    </w:p>
    <w:p w14:paraId="7AA813CA" w14:textId="77777777" w:rsidR="00342022" w:rsidRPr="00342022" w:rsidRDefault="00342022" w:rsidP="00FA42CA">
      <w:pPr>
        <w:pStyle w:val="ListParagraph"/>
        <w:numPr>
          <w:ilvl w:val="0"/>
          <w:numId w:val="6"/>
        </w:numPr>
        <w:spacing w:after="120" w:line="256" w:lineRule="auto"/>
        <w:jc w:val="both"/>
        <w:rPr>
          <w:rFonts w:eastAsia="Calibri" w:cstheme="minorHAnsi"/>
          <w:lang w:val="en-GB"/>
        </w:rPr>
      </w:pPr>
      <w:r w:rsidRPr="00342022">
        <w:rPr>
          <w:rFonts w:eastAsia="Calibri" w:cstheme="minorHAnsi"/>
          <w:lang w:val="en-GB"/>
        </w:rPr>
        <w:t xml:space="preserve">Two people or small groups: </w:t>
      </w:r>
      <w:proofErr w:type="gramStart"/>
      <w:r w:rsidRPr="00342022">
        <w:rPr>
          <w:rFonts w:eastAsia="Calibri" w:cstheme="minorHAnsi"/>
          <w:lang w:val="en-GB"/>
        </w:rPr>
        <w:t>e.g.</w:t>
      </w:r>
      <w:proofErr w:type="gramEnd"/>
      <w:r w:rsidRPr="00342022">
        <w:rPr>
          <w:rFonts w:eastAsia="Calibri" w:cstheme="minorHAnsi"/>
          <w:lang w:val="en-GB"/>
        </w:rPr>
        <w:t xml:space="preserve"> telephone, MS Teams, Skype, WhatsApp, Zoom, Facetime, Duo, etc. </w:t>
      </w:r>
    </w:p>
    <w:p w14:paraId="1D0C1BBB" w14:textId="77777777" w:rsidR="00342022" w:rsidRPr="00342022" w:rsidRDefault="00342022" w:rsidP="00FA42CA">
      <w:pPr>
        <w:pStyle w:val="ListParagraph"/>
        <w:numPr>
          <w:ilvl w:val="0"/>
          <w:numId w:val="6"/>
        </w:numPr>
        <w:spacing w:after="120" w:line="256" w:lineRule="auto"/>
        <w:jc w:val="both"/>
        <w:rPr>
          <w:rFonts w:eastAsia="Calibri" w:cstheme="minorHAnsi"/>
          <w:lang w:val="en-GB"/>
        </w:rPr>
      </w:pPr>
      <w:r w:rsidRPr="00342022">
        <w:rPr>
          <w:rFonts w:eastAsia="Calibri" w:cstheme="minorHAnsi"/>
          <w:lang w:val="en-GB"/>
        </w:rPr>
        <w:t xml:space="preserve">Online meetings/workshops (with or without video): </w:t>
      </w:r>
      <w:proofErr w:type="gramStart"/>
      <w:r w:rsidRPr="00342022">
        <w:rPr>
          <w:rFonts w:eastAsia="Calibri" w:cstheme="minorHAnsi"/>
          <w:lang w:val="en-GB"/>
        </w:rPr>
        <w:t>e.g.</w:t>
      </w:r>
      <w:proofErr w:type="gramEnd"/>
      <w:r w:rsidRPr="00342022">
        <w:rPr>
          <w:rFonts w:eastAsia="Calibri" w:cstheme="minorHAnsi"/>
          <w:lang w:val="en-GB"/>
        </w:rPr>
        <w:t xml:space="preserve"> Zoom, MS Teams, WebEx, GoToMeeting, Skype for Business, Google Meet, </w:t>
      </w:r>
      <w:proofErr w:type="spellStart"/>
      <w:r w:rsidRPr="00342022">
        <w:rPr>
          <w:rFonts w:eastAsia="Calibri" w:cstheme="minorHAnsi"/>
          <w:lang w:val="en-GB"/>
        </w:rPr>
        <w:t>BlueJeans</w:t>
      </w:r>
      <w:proofErr w:type="spellEnd"/>
      <w:r w:rsidRPr="00342022">
        <w:rPr>
          <w:rFonts w:eastAsia="Calibri" w:cstheme="minorHAnsi"/>
          <w:lang w:val="en-GB"/>
        </w:rPr>
        <w:t xml:space="preserve">. </w:t>
      </w:r>
    </w:p>
    <w:p w14:paraId="675AFAFD" w14:textId="276C742E" w:rsidR="00342022" w:rsidRPr="00342022" w:rsidRDefault="00342022" w:rsidP="00FA42CA">
      <w:pPr>
        <w:pStyle w:val="ListParagraph"/>
        <w:numPr>
          <w:ilvl w:val="0"/>
          <w:numId w:val="6"/>
        </w:numPr>
        <w:spacing w:after="120" w:line="256" w:lineRule="auto"/>
        <w:jc w:val="both"/>
        <w:rPr>
          <w:rFonts w:ascii="Calibri" w:eastAsia="Calibri" w:hAnsi="Calibri" w:cs="Calibri"/>
          <w:b/>
          <w:bCs/>
          <w:color w:val="000000" w:themeColor="text1"/>
          <w:lang w:val="en-GB"/>
        </w:rPr>
      </w:pPr>
      <w:r w:rsidRPr="00342022">
        <w:rPr>
          <w:rFonts w:eastAsia="Calibri" w:cstheme="minorHAnsi"/>
          <w:lang w:val="en-GB"/>
        </w:rPr>
        <w:t xml:space="preserve">Discussion fora: </w:t>
      </w:r>
      <w:proofErr w:type="gramStart"/>
      <w:r w:rsidRPr="00342022">
        <w:rPr>
          <w:rFonts w:eastAsia="Calibri" w:cstheme="minorHAnsi"/>
          <w:lang w:val="en-GB"/>
        </w:rPr>
        <w:t>e.g.</w:t>
      </w:r>
      <w:proofErr w:type="gramEnd"/>
      <w:r w:rsidRPr="00342022">
        <w:rPr>
          <w:rFonts w:eastAsia="Calibri" w:cstheme="minorHAnsi"/>
          <w:lang w:val="en-GB"/>
        </w:rPr>
        <w:t xml:space="preserve"> Facebook, LinkedIn.</w:t>
      </w:r>
      <w:r w:rsidRPr="00342022">
        <w:rPr>
          <w:rFonts w:ascii="Calibri" w:eastAsia="Calibri" w:hAnsi="Calibri" w:cs="Calibri"/>
          <w:lang w:val="en-GB"/>
        </w:rPr>
        <w:t xml:space="preserve"> </w:t>
      </w:r>
    </w:p>
    <w:p w14:paraId="285BA0D7" w14:textId="77777777" w:rsidR="00342022" w:rsidRPr="00342022" w:rsidRDefault="00342022" w:rsidP="00342022">
      <w:pPr>
        <w:spacing w:after="120"/>
        <w:jc w:val="both"/>
        <w:rPr>
          <w:b/>
          <w:bCs/>
          <w:color w:val="12354E" w:themeColor="accent1" w:themeShade="BF"/>
        </w:rPr>
      </w:pPr>
      <w:r w:rsidRPr="00342022">
        <w:rPr>
          <w:b/>
          <w:bCs/>
          <w:color w:val="12354E" w:themeColor="accent1" w:themeShade="BF"/>
        </w:rPr>
        <w:t>Hybrid consultation</w:t>
      </w:r>
    </w:p>
    <w:p w14:paraId="5AD045A5" w14:textId="5573EBCA" w:rsidR="0090455F" w:rsidRDefault="00342022" w:rsidP="002179BE">
      <w:pPr>
        <w:pStyle w:val="Body"/>
        <w:jc w:val="both"/>
        <w:rPr>
          <w:lang w:val="en-GB"/>
        </w:rPr>
      </w:pPr>
      <w:r w:rsidRPr="00EB3205">
        <w:rPr>
          <w:lang w:val="en-GB"/>
        </w:rPr>
        <w:t xml:space="preserve">Any mix between online and in-person formats is possible. For example, an online consultation and/or survey might be held prior to an in-person workshop, or a true hybrid event could be organised, with both in-person and online participants discussing the scoring for questions. In the latter case, special care should be taken to ensure that online participants can contribute meaningfully. </w:t>
      </w:r>
    </w:p>
    <w:p w14:paraId="0253865D" w14:textId="2D741ED9" w:rsidR="00342022" w:rsidRPr="00EB3205" w:rsidRDefault="00342022" w:rsidP="00342022">
      <w:pPr>
        <w:pStyle w:val="Header3"/>
        <w:rPr>
          <w:lang w:val="en-GB"/>
        </w:rPr>
      </w:pPr>
      <w:r w:rsidRPr="00EB3205">
        <w:rPr>
          <w:lang w:val="en-GB"/>
        </w:rPr>
        <w:t xml:space="preserve">Best practices for designing an engagement </w:t>
      </w:r>
      <w:proofErr w:type="gramStart"/>
      <w:r w:rsidRPr="00EB3205">
        <w:rPr>
          <w:lang w:val="en-GB"/>
        </w:rPr>
        <w:t>approach</w:t>
      </w:r>
      <w:proofErr w:type="gramEnd"/>
    </w:p>
    <w:p w14:paraId="5956530F" w14:textId="77777777" w:rsidR="00342022" w:rsidRPr="00EB3205" w:rsidRDefault="00342022" w:rsidP="00342022">
      <w:pPr>
        <w:pStyle w:val="Body"/>
        <w:rPr>
          <w:b/>
          <w:bCs/>
          <w:lang w:val="en-GB" w:eastAsia="en-GB"/>
        </w:rPr>
      </w:pPr>
      <w:r w:rsidRPr="00EB3205">
        <w:rPr>
          <w:lang w:val="en-GB" w:eastAsia="en-GB"/>
        </w:rPr>
        <w:t xml:space="preserve">In general, it is recommended to make sure that the following </w:t>
      </w:r>
      <w:r w:rsidRPr="00EB3205">
        <w:rPr>
          <w:i/>
          <w:iCs/>
          <w:lang w:val="en-GB" w:eastAsia="en-GB"/>
        </w:rPr>
        <w:t>criteria</w:t>
      </w:r>
      <w:r w:rsidRPr="00EB3205">
        <w:rPr>
          <w:lang w:val="en-GB" w:eastAsia="en-GB"/>
        </w:rPr>
        <w:t xml:space="preserve"> are met when designing the consultation process</w:t>
      </w:r>
      <w:r>
        <w:rPr>
          <w:rStyle w:val="FootnoteReference"/>
          <w:rFonts w:ascii="Calibri" w:eastAsia="Times New Roman" w:hAnsi="Calibri" w:cs="Calibri"/>
          <w:lang w:val="en-GB" w:eastAsia="en-GB"/>
        </w:rPr>
        <w:footnoteReference w:id="3"/>
      </w:r>
      <w:r w:rsidRPr="00EB3205">
        <w:rPr>
          <w:lang w:val="en-GB" w:eastAsia="en-GB"/>
        </w:rPr>
        <w:t>:</w:t>
      </w:r>
    </w:p>
    <w:p w14:paraId="274BCD82" w14:textId="2F00C2B5" w:rsidR="001A7C59" w:rsidRPr="001A7C59" w:rsidRDefault="00342022" w:rsidP="001A7C59">
      <w:pPr>
        <w:pStyle w:val="ListParagraph"/>
        <w:numPr>
          <w:ilvl w:val="0"/>
          <w:numId w:val="7"/>
        </w:numPr>
        <w:spacing w:after="120"/>
        <w:jc w:val="both"/>
        <w:rPr>
          <w:rFonts w:ascii="Calibri" w:eastAsia="Times New Roman" w:hAnsi="Calibri" w:cs="Calibri"/>
          <w:lang w:val="en-GB" w:eastAsia="en-GB"/>
        </w:rPr>
      </w:pPr>
      <w:r>
        <w:rPr>
          <w:rFonts w:ascii="Calibri" w:eastAsia="Times New Roman" w:hAnsi="Calibri" w:cs="Calibri"/>
          <w:b/>
          <w:bCs/>
          <w:lang w:val="en-GB" w:eastAsia="en-GB"/>
        </w:rPr>
        <w:t>Inclusion</w:t>
      </w:r>
      <w:r>
        <w:rPr>
          <w:rFonts w:ascii="Calibri" w:eastAsia="Times New Roman" w:hAnsi="Calibri" w:cs="Calibri"/>
          <w:lang w:val="en-GB" w:eastAsia="en-GB"/>
        </w:rPr>
        <w:t xml:space="preserve"> - To ensure that the country response to the survey is based on representative participation from all relevant stakeholder groups, a broad range of</w:t>
      </w:r>
      <w:r w:rsidR="001A7C59">
        <w:rPr>
          <w:rFonts w:ascii="Calibri" w:eastAsia="Times New Roman" w:hAnsi="Calibri" w:cs="Calibri"/>
          <w:lang w:val="en-GB" w:eastAsia="en-GB"/>
        </w:rPr>
        <w:t xml:space="preserve"> </w:t>
      </w:r>
      <w:r>
        <w:rPr>
          <w:rFonts w:ascii="Calibri" w:eastAsia="Times New Roman" w:hAnsi="Calibri" w:cs="Calibri"/>
          <w:lang w:val="en-GB" w:eastAsia="en-GB"/>
        </w:rPr>
        <w:lastRenderedPageBreak/>
        <w:t xml:space="preserve">stakeholders should be invited to take part in the consultations, </w:t>
      </w:r>
      <w:proofErr w:type="gramStart"/>
      <w:r>
        <w:rPr>
          <w:rFonts w:ascii="Calibri" w:eastAsia="Times New Roman" w:hAnsi="Calibri" w:cs="Calibri"/>
          <w:lang w:val="en-GB" w:eastAsia="en-GB"/>
        </w:rPr>
        <w:t>taking into account</w:t>
      </w:r>
      <w:proofErr w:type="gramEnd"/>
      <w:r>
        <w:rPr>
          <w:rFonts w:ascii="Calibri" w:eastAsia="Times New Roman" w:hAnsi="Calibri" w:cs="Calibri"/>
          <w:lang w:val="en-GB" w:eastAsia="en-GB"/>
        </w:rPr>
        <w:t xml:space="preserve"> the guidance provided in the previous section </w:t>
      </w:r>
      <w:r>
        <w:rPr>
          <w:rFonts w:ascii="Calibri" w:eastAsia="Times New Roman" w:hAnsi="Calibri" w:cs="Calibri"/>
          <w:i/>
          <w:iCs/>
          <w:lang w:val="en-GB" w:eastAsia="en-GB"/>
        </w:rPr>
        <w:t>Stakeholder engagement</w:t>
      </w:r>
      <w:r>
        <w:rPr>
          <w:rStyle w:val="FootnoteReference"/>
          <w:rFonts w:ascii="Calibri" w:eastAsia="Times New Roman" w:hAnsi="Calibri" w:cs="Calibri"/>
          <w:lang w:val="en-GB" w:eastAsia="en-GB"/>
        </w:rPr>
        <w:footnoteReference w:id="4"/>
      </w:r>
      <w:r>
        <w:rPr>
          <w:rFonts w:ascii="Calibri" w:eastAsia="Times New Roman" w:hAnsi="Calibri" w:cs="Calibri"/>
          <w:lang w:val="en-GB" w:eastAsia="en-GB"/>
        </w:rPr>
        <w:t>.</w:t>
      </w:r>
    </w:p>
    <w:p w14:paraId="7B2FD5DB" w14:textId="77777777" w:rsidR="00342022" w:rsidRDefault="00342022" w:rsidP="00FA42CA">
      <w:pPr>
        <w:pStyle w:val="ListParagraph"/>
        <w:numPr>
          <w:ilvl w:val="0"/>
          <w:numId w:val="7"/>
        </w:numPr>
        <w:spacing w:after="120"/>
        <w:jc w:val="both"/>
        <w:rPr>
          <w:rFonts w:ascii="Calibri" w:eastAsia="Times New Roman" w:hAnsi="Calibri" w:cs="Calibri"/>
          <w:lang w:val="en-GB" w:eastAsia="en-GB"/>
        </w:rPr>
      </w:pPr>
      <w:r>
        <w:rPr>
          <w:rFonts w:ascii="Calibri" w:eastAsia="Times New Roman" w:hAnsi="Calibri" w:cs="Calibri"/>
          <w:b/>
          <w:bCs/>
          <w:lang w:val="en-GB" w:eastAsia="en-GB"/>
        </w:rPr>
        <w:t xml:space="preserve">Procedural fairness – </w:t>
      </w:r>
      <w:r>
        <w:rPr>
          <w:rFonts w:ascii="Calibri" w:eastAsia="Times New Roman" w:hAnsi="Calibri" w:cs="Calibri"/>
          <w:lang w:val="en-GB" w:eastAsia="en-GB"/>
        </w:rPr>
        <w:t>it is important that each participating actor has a fair say in the process, and in turn a genuine ability to influence final outcomes. This can for instance be facilitated by making information available in advance to all stakeholders and by hosting pre-workshop meetings to familiarise non-experts with technical terms and jargon. It is also important to ensure that all participants are given space and time to voice their opinion in the consultation through specific formats such as small breakout sessions.</w:t>
      </w:r>
    </w:p>
    <w:p w14:paraId="752C2712" w14:textId="0E6BEBD4" w:rsidR="00342022" w:rsidRDefault="00342022" w:rsidP="00FA42CA">
      <w:pPr>
        <w:pStyle w:val="ListParagraph"/>
        <w:numPr>
          <w:ilvl w:val="0"/>
          <w:numId w:val="7"/>
        </w:numPr>
        <w:spacing w:after="120"/>
        <w:jc w:val="both"/>
        <w:rPr>
          <w:rFonts w:ascii="Calibri" w:eastAsia="Times New Roman" w:hAnsi="Calibri" w:cs="Calibri"/>
          <w:lang w:val="en-GB" w:eastAsia="en-GB"/>
        </w:rPr>
      </w:pPr>
      <w:r>
        <w:rPr>
          <w:rFonts w:ascii="Calibri" w:eastAsia="Times New Roman" w:hAnsi="Calibri" w:cs="Calibri"/>
          <w:b/>
          <w:bCs/>
          <w:lang w:val="en-GB" w:eastAsia="en-GB"/>
        </w:rPr>
        <w:t>Agreement by consensus</w:t>
      </w:r>
      <w:r>
        <w:rPr>
          <w:rFonts w:ascii="Calibri" w:eastAsia="Times New Roman" w:hAnsi="Calibri" w:cs="Calibri"/>
          <w:lang w:val="en-GB" w:eastAsia="en-GB"/>
        </w:rPr>
        <w:t xml:space="preserve"> - it is important that e</w:t>
      </w:r>
      <w:r>
        <w:rPr>
          <w:lang w:val="en-GB"/>
        </w:rPr>
        <w:t>veryone is afforded the opportunity to speak, offer criticism, and bring new arguments or information into discussions in a conducive environment, for which the role of the facilitator is crucial. T</w:t>
      </w:r>
      <w:r>
        <w:rPr>
          <w:color w:val="000000" w:themeColor="text1"/>
          <w:lang w:val="en-GB"/>
        </w:rPr>
        <w:t xml:space="preserve">rust-building exercises (such as icebreakers and </w:t>
      </w:r>
      <w:r>
        <w:rPr>
          <w:lang w:val="en-GB"/>
        </w:rPr>
        <w:t xml:space="preserve">energisers), focus group discussions followed by feedback sessions, or creative problem structuring methods, such as abstraction and visioning exercises or those based on </w:t>
      </w:r>
      <w:hyperlink r:id="rId49" w:history="1">
        <w:r w:rsidRPr="00EB3205">
          <w:rPr>
            <w:rStyle w:val="Hyperlink"/>
            <w:lang w:val="en-GB"/>
          </w:rPr>
          <w:t>Liberating Structures</w:t>
        </w:r>
      </w:hyperlink>
      <w:r>
        <w:rPr>
          <w:lang w:val="en-GB"/>
        </w:rPr>
        <w:t xml:space="preserve"> can be useful tools to strengthen this aspect.</w:t>
      </w:r>
    </w:p>
    <w:p w14:paraId="39E3C8C3" w14:textId="1A826160" w:rsidR="00342022" w:rsidRDefault="00342022" w:rsidP="00FA42CA">
      <w:pPr>
        <w:pStyle w:val="ListParagraph"/>
        <w:numPr>
          <w:ilvl w:val="0"/>
          <w:numId w:val="7"/>
        </w:numPr>
        <w:spacing w:after="120"/>
        <w:jc w:val="both"/>
        <w:rPr>
          <w:rFonts w:ascii="Calibri" w:eastAsia="Calibri" w:hAnsi="Calibri" w:cs="Calibri"/>
          <w:lang w:val="en-GB"/>
        </w:rPr>
      </w:pPr>
      <w:r>
        <w:rPr>
          <w:rFonts w:ascii="Calibri" w:eastAsia="Times New Roman" w:hAnsi="Calibri" w:cs="Calibri"/>
          <w:b/>
          <w:bCs/>
          <w:lang w:val="en-GB" w:eastAsia="en-GB"/>
        </w:rPr>
        <w:t>Transparency</w:t>
      </w:r>
      <w:r>
        <w:rPr>
          <w:rFonts w:ascii="Calibri" w:eastAsia="Times New Roman" w:hAnsi="Calibri" w:cs="Calibri"/>
          <w:lang w:val="en-GB" w:eastAsia="en-GB"/>
        </w:rPr>
        <w:t xml:space="preserve"> - </w:t>
      </w:r>
      <w:r>
        <w:rPr>
          <w:rFonts w:ascii="Calibri" w:eastAsia="Calibri" w:hAnsi="Calibri" w:cs="Calibri"/>
          <w:lang w:val="en-GB"/>
        </w:rPr>
        <w:t xml:space="preserve">Information should be made publicly available to all concerned parties and should allow all relevant stakeholders – regardless of whether they participated in the workshop – to have access to information before the consultation, and a detailed account of the discussions </w:t>
      </w:r>
      <w:proofErr w:type="gramStart"/>
      <w:r>
        <w:rPr>
          <w:rFonts w:ascii="Calibri" w:eastAsia="Calibri" w:hAnsi="Calibri" w:cs="Calibri"/>
          <w:lang w:val="en-GB"/>
        </w:rPr>
        <w:t>held</w:t>
      </w:r>
      <w:proofErr w:type="gramEnd"/>
      <w:r>
        <w:rPr>
          <w:rFonts w:ascii="Calibri" w:eastAsia="Calibri" w:hAnsi="Calibri" w:cs="Calibri"/>
          <w:lang w:val="en-GB"/>
        </w:rPr>
        <w:t xml:space="preserve"> and results agreed. Stakeholder workshop reports are an excellent way to document the national processes for future reference and transparency (</w:t>
      </w:r>
      <w:r w:rsidRPr="002B1B0C">
        <w:rPr>
          <w:rFonts w:ascii="Calibri" w:eastAsia="Calibri" w:hAnsi="Calibri" w:cs="Calibri"/>
          <w:lang w:val="en-GB"/>
        </w:rPr>
        <w:t xml:space="preserve">see </w:t>
      </w:r>
      <w:hyperlink r:id="rId50" w:history="1">
        <w:r w:rsidRPr="002B1B0C">
          <w:rPr>
            <w:rStyle w:val="Hyperlink"/>
            <w:rFonts w:ascii="Calibri" w:eastAsia="Calibri" w:hAnsi="Calibri" w:cs="Calibri"/>
            <w:i/>
            <w:iCs/>
            <w:lang w:val="en-GB"/>
          </w:rPr>
          <w:t>Annex 3</w:t>
        </w:r>
      </w:hyperlink>
      <w:r w:rsidRPr="002B1B0C">
        <w:rPr>
          <w:rFonts w:ascii="Calibri" w:eastAsia="Calibri" w:hAnsi="Calibri" w:cs="Calibri"/>
          <w:lang w:val="en-GB"/>
        </w:rPr>
        <w:t xml:space="preserve"> for a template).</w:t>
      </w:r>
    </w:p>
    <w:p w14:paraId="7299B7FB" w14:textId="77777777" w:rsidR="00342022" w:rsidRPr="00EB3205" w:rsidRDefault="00342022" w:rsidP="00342022">
      <w:pPr>
        <w:pStyle w:val="Body"/>
        <w:jc w:val="both"/>
        <w:rPr>
          <w:rFonts w:ascii="Times New Roman" w:hAnsi="Times New Roman" w:cs="Times New Roman"/>
          <w:lang w:val="en-GB"/>
        </w:rPr>
      </w:pPr>
      <w:r w:rsidRPr="00EB3205">
        <w:rPr>
          <w:lang w:val="en-GB"/>
        </w:rPr>
        <w:t>The table below presents a practical overview of the advantages and disadvantages of stakeholder engagement approaches based on cumulative data from the previous round of stakeholder consultations for SDG 6.5.1 monitoring.</w:t>
      </w:r>
      <w:r w:rsidRPr="00EB3205">
        <w:rPr>
          <w:rFonts w:ascii="Times New Roman" w:hAnsi="Times New Roman" w:cs="Times New Roman"/>
          <w:lang w:val="en-GB"/>
        </w:rPr>
        <w:t xml:space="preserve"> </w:t>
      </w:r>
    </w:p>
    <w:tbl>
      <w:tblPr>
        <w:tblStyle w:val="GridTable1Light-Accent1"/>
        <w:tblW w:w="9360" w:type="dxa"/>
        <w:tblInd w:w="0" w:type="dxa"/>
        <w:tblBorders>
          <w:top w:val="single" w:sz="4" w:space="0" w:color="ACB9CA" w:themeColor="text2" w:themeTint="66"/>
          <w:left w:val="single" w:sz="4" w:space="0" w:color="ACB9CA" w:themeColor="text2" w:themeTint="66"/>
          <w:bottom w:val="single" w:sz="4" w:space="0" w:color="ACB9CA" w:themeColor="text2" w:themeTint="66"/>
          <w:right w:val="single" w:sz="4" w:space="0" w:color="ACB9CA" w:themeColor="text2" w:themeTint="66"/>
          <w:insideH w:val="single" w:sz="4" w:space="0" w:color="ACB9CA" w:themeColor="text2" w:themeTint="66"/>
          <w:insideV w:val="single" w:sz="4" w:space="0" w:color="ACB9CA" w:themeColor="text2" w:themeTint="66"/>
        </w:tblBorders>
        <w:tblLook w:val="04A0" w:firstRow="1" w:lastRow="0" w:firstColumn="1" w:lastColumn="0" w:noHBand="0" w:noVBand="1"/>
      </w:tblPr>
      <w:tblGrid>
        <w:gridCol w:w="1461"/>
        <w:gridCol w:w="3847"/>
        <w:gridCol w:w="4052"/>
      </w:tblGrid>
      <w:tr w:rsidR="00D57092" w14:paraId="600B8C0C" w14:textId="77777777" w:rsidTr="004903EE">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461" w:type="dxa"/>
            <w:tcBorders>
              <w:bottom w:val="none" w:sz="0" w:space="0" w:color="auto"/>
            </w:tcBorders>
            <w:shd w:val="clear" w:color="auto" w:fill="194869" w:themeFill="accent1"/>
            <w:hideMark/>
          </w:tcPr>
          <w:p w14:paraId="377A0466" w14:textId="77777777" w:rsidR="00D57092" w:rsidRPr="00D57092" w:rsidRDefault="00D57092" w:rsidP="00C9543D">
            <w:pPr>
              <w:spacing w:after="120"/>
              <w:rPr>
                <w:color w:val="FFFFFF" w:themeColor="background1"/>
                <w:sz w:val="24"/>
                <w:szCs w:val="20"/>
                <w:lang w:val="en-GB"/>
              </w:rPr>
            </w:pPr>
            <w:r w:rsidRPr="00D57092">
              <w:rPr>
                <w:color w:val="FFFFFF" w:themeColor="background1"/>
                <w:sz w:val="24"/>
                <w:szCs w:val="20"/>
                <w:lang w:val="en-GB"/>
              </w:rPr>
              <w:t>Approach</w:t>
            </w:r>
          </w:p>
        </w:tc>
        <w:tc>
          <w:tcPr>
            <w:tcW w:w="3847" w:type="dxa"/>
            <w:tcBorders>
              <w:bottom w:val="none" w:sz="0" w:space="0" w:color="auto"/>
            </w:tcBorders>
            <w:shd w:val="clear" w:color="auto" w:fill="194869" w:themeFill="accent1"/>
            <w:hideMark/>
          </w:tcPr>
          <w:p w14:paraId="5F0793E5" w14:textId="77777777" w:rsidR="00D57092" w:rsidRPr="00D57092" w:rsidRDefault="00D57092" w:rsidP="00C9543D">
            <w:pPr>
              <w:spacing w:after="120"/>
              <w:jc w:val="both"/>
              <w:cnfStyle w:val="100000000000" w:firstRow="1" w:lastRow="0" w:firstColumn="0" w:lastColumn="0" w:oddVBand="0" w:evenVBand="0" w:oddHBand="0" w:evenHBand="0" w:firstRowFirstColumn="0" w:firstRowLastColumn="0" w:lastRowFirstColumn="0" w:lastRowLastColumn="0"/>
              <w:rPr>
                <w:color w:val="FFFFFF" w:themeColor="background1"/>
                <w:sz w:val="24"/>
                <w:szCs w:val="20"/>
                <w:lang w:val="en-GB"/>
              </w:rPr>
            </w:pPr>
            <w:r w:rsidRPr="00D57092">
              <w:rPr>
                <w:color w:val="FFFFFF" w:themeColor="background1"/>
                <w:sz w:val="24"/>
                <w:szCs w:val="20"/>
                <w:lang w:val="en-GB"/>
              </w:rPr>
              <w:t>Advantages</w:t>
            </w:r>
          </w:p>
        </w:tc>
        <w:tc>
          <w:tcPr>
            <w:tcW w:w="4052" w:type="dxa"/>
            <w:tcBorders>
              <w:bottom w:val="none" w:sz="0" w:space="0" w:color="auto"/>
            </w:tcBorders>
            <w:shd w:val="clear" w:color="auto" w:fill="194869" w:themeFill="accent1"/>
            <w:hideMark/>
          </w:tcPr>
          <w:p w14:paraId="40C1A609" w14:textId="77777777" w:rsidR="00D57092" w:rsidRPr="00D57092" w:rsidRDefault="00D57092" w:rsidP="00C9543D">
            <w:pPr>
              <w:spacing w:after="120"/>
              <w:ind w:left="346" w:hanging="346"/>
              <w:jc w:val="both"/>
              <w:cnfStyle w:val="100000000000" w:firstRow="1" w:lastRow="0" w:firstColumn="0" w:lastColumn="0" w:oddVBand="0" w:evenVBand="0" w:oddHBand="0" w:evenHBand="0" w:firstRowFirstColumn="0" w:firstRowLastColumn="0" w:lastRowFirstColumn="0" w:lastRowLastColumn="0"/>
              <w:rPr>
                <w:color w:val="FFFFFF" w:themeColor="background1"/>
                <w:sz w:val="24"/>
                <w:szCs w:val="20"/>
                <w:lang w:val="en-GB"/>
              </w:rPr>
            </w:pPr>
            <w:r w:rsidRPr="00D57092">
              <w:rPr>
                <w:color w:val="FFFFFF" w:themeColor="background1"/>
                <w:sz w:val="24"/>
                <w:szCs w:val="20"/>
                <w:lang w:val="en-GB"/>
              </w:rPr>
              <w:t>Disadvantages</w:t>
            </w:r>
          </w:p>
        </w:tc>
      </w:tr>
      <w:tr w:rsidR="00D57092" w14:paraId="2E89949E" w14:textId="77777777" w:rsidTr="004903EE">
        <w:trPr>
          <w:trHeight w:val="300"/>
        </w:trPr>
        <w:tc>
          <w:tcPr>
            <w:cnfStyle w:val="001000000000" w:firstRow="0" w:lastRow="0" w:firstColumn="1" w:lastColumn="0" w:oddVBand="0" w:evenVBand="0" w:oddHBand="0" w:evenHBand="0" w:firstRowFirstColumn="0" w:firstRowLastColumn="0" w:lastRowFirstColumn="0" w:lastRowLastColumn="0"/>
            <w:tcW w:w="1461" w:type="dxa"/>
          </w:tcPr>
          <w:p w14:paraId="36088DF7" w14:textId="77777777" w:rsidR="00D57092" w:rsidRPr="00D57092" w:rsidRDefault="00D57092">
            <w:pPr>
              <w:rPr>
                <w:color w:val="12354E" w:themeColor="accent1" w:themeShade="BF"/>
                <w:sz w:val="24"/>
                <w:szCs w:val="20"/>
                <w:lang w:val="en-GB"/>
              </w:rPr>
            </w:pPr>
            <w:r w:rsidRPr="00D57092">
              <w:rPr>
                <w:color w:val="12354E" w:themeColor="accent1" w:themeShade="BF"/>
                <w:sz w:val="24"/>
                <w:szCs w:val="20"/>
                <w:lang w:val="en-GB"/>
              </w:rPr>
              <w:t>Online engagement</w:t>
            </w:r>
          </w:p>
          <w:p w14:paraId="013AFBE6" w14:textId="77777777" w:rsidR="00D57092" w:rsidRPr="00D57092" w:rsidRDefault="00D57092">
            <w:pPr>
              <w:rPr>
                <w:b w:val="0"/>
                <w:bCs w:val="0"/>
                <w:color w:val="12354E" w:themeColor="accent1" w:themeShade="BF"/>
                <w:sz w:val="24"/>
                <w:szCs w:val="20"/>
                <w:lang w:val="en-GB"/>
              </w:rPr>
            </w:pPr>
          </w:p>
        </w:tc>
        <w:tc>
          <w:tcPr>
            <w:tcW w:w="3847" w:type="dxa"/>
            <w:hideMark/>
          </w:tcPr>
          <w:p w14:paraId="4EDE5EC0" w14:textId="77777777" w:rsidR="00D57092" w:rsidRPr="00D57092" w:rsidRDefault="00D57092" w:rsidP="00FA42CA">
            <w:pPr>
              <w:pStyle w:val="ListParagraph"/>
              <w:numPr>
                <w:ilvl w:val="0"/>
                <w:numId w:val="8"/>
              </w:numPr>
              <w:spacing w:after="0"/>
              <w:ind w:left="436"/>
              <w:cnfStyle w:val="000000000000" w:firstRow="0" w:lastRow="0" w:firstColumn="0" w:lastColumn="0" w:oddVBand="0" w:evenVBand="0" w:oddHBand="0" w:evenHBand="0" w:firstRowFirstColumn="0" w:firstRowLastColumn="0" w:lastRowFirstColumn="0" w:lastRowLastColumn="0"/>
              <w:rPr>
                <w:sz w:val="24"/>
                <w:szCs w:val="20"/>
                <w:lang w:val="en-GB"/>
              </w:rPr>
            </w:pPr>
            <w:r w:rsidRPr="00EB3205">
              <w:rPr>
                <w:sz w:val="24"/>
                <w:szCs w:val="20"/>
                <w:lang w:val="en-GB"/>
              </w:rPr>
              <w:t>stakeholders can be more easily reached, allowing for wider engagement, including sub-national stakeholders (</w:t>
            </w:r>
            <w:proofErr w:type="gramStart"/>
            <w:r w:rsidRPr="00EB3205">
              <w:rPr>
                <w:sz w:val="24"/>
                <w:szCs w:val="20"/>
                <w:lang w:val="en-GB"/>
              </w:rPr>
              <w:t>e</w:t>
            </w:r>
            <w:r w:rsidRPr="00D57092">
              <w:rPr>
                <w:sz w:val="24"/>
                <w:szCs w:val="20"/>
                <w:lang w:val="en-GB"/>
              </w:rPr>
              <w:t>.g.</w:t>
            </w:r>
            <w:proofErr w:type="gramEnd"/>
            <w:r w:rsidRPr="00EB3205">
              <w:rPr>
                <w:sz w:val="24"/>
                <w:szCs w:val="20"/>
                <w:lang w:val="en-GB"/>
              </w:rPr>
              <w:t xml:space="preserve"> stakeholders based outside of capital cities).</w:t>
            </w:r>
          </w:p>
          <w:p w14:paraId="43E5CE6F" w14:textId="77777777" w:rsidR="00D57092" w:rsidRPr="00D57092" w:rsidRDefault="00D57092" w:rsidP="00FA42CA">
            <w:pPr>
              <w:pStyle w:val="ListParagraph"/>
              <w:numPr>
                <w:ilvl w:val="0"/>
                <w:numId w:val="8"/>
              </w:numPr>
              <w:spacing w:after="0"/>
              <w:ind w:left="436"/>
              <w:cnfStyle w:val="000000000000" w:firstRow="0" w:lastRow="0" w:firstColumn="0" w:lastColumn="0" w:oddVBand="0" w:evenVBand="0" w:oddHBand="0" w:evenHBand="0" w:firstRowFirstColumn="0" w:firstRowLastColumn="0" w:lastRowFirstColumn="0" w:lastRowLastColumn="0"/>
              <w:rPr>
                <w:sz w:val="24"/>
                <w:szCs w:val="20"/>
                <w:lang w:val="en-GB"/>
              </w:rPr>
            </w:pPr>
            <w:proofErr w:type="spellStart"/>
            <w:proofErr w:type="gramStart"/>
            <w:r w:rsidRPr="00D57092">
              <w:rPr>
                <w:sz w:val="24"/>
                <w:szCs w:val="20"/>
              </w:rPr>
              <w:t>cost</w:t>
            </w:r>
            <w:proofErr w:type="spellEnd"/>
            <w:proofErr w:type="gramEnd"/>
            <w:r w:rsidRPr="00D57092">
              <w:rPr>
                <w:sz w:val="24"/>
                <w:szCs w:val="20"/>
              </w:rPr>
              <w:t xml:space="preserve"> </w:t>
            </w:r>
            <w:proofErr w:type="spellStart"/>
            <w:r w:rsidRPr="00D57092">
              <w:rPr>
                <w:sz w:val="24"/>
                <w:szCs w:val="20"/>
              </w:rPr>
              <w:t>efficiency</w:t>
            </w:r>
            <w:proofErr w:type="spellEnd"/>
          </w:p>
        </w:tc>
        <w:tc>
          <w:tcPr>
            <w:tcW w:w="4052" w:type="dxa"/>
            <w:hideMark/>
          </w:tcPr>
          <w:p w14:paraId="622D3FBB" w14:textId="77777777" w:rsidR="00D57092" w:rsidRPr="00D57092" w:rsidRDefault="00D57092" w:rsidP="00FA42CA">
            <w:pPr>
              <w:pStyle w:val="ListParagraph"/>
              <w:numPr>
                <w:ilvl w:val="0"/>
                <w:numId w:val="9"/>
              </w:numPr>
              <w:spacing w:after="0"/>
              <w:ind w:left="346" w:hanging="346"/>
              <w:cnfStyle w:val="000000000000" w:firstRow="0" w:lastRow="0" w:firstColumn="0" w:lastColumn="0" w:oddVBand="0" w:evenVBand="0" w:oddHBand="0" w:evenHBand="0" w:firstRowFirstColumn="0" w:firstRowLastColumn="0" w:lastRowFirstColumn="0" w:lastRowLastColumn="0"/>
              <w:rPr>
                <w:sz w:val="24"/>
                <w:szCs w:val="20"/>
                <w:lang w:val="en-GB"/>
              </w:rPr>
            </w:pPr>
            <w:r w:rsidRPr="00D57092">
              <w:rPr>
                <w:sz w:val="24"/>
                <w:szCs w:val="20"/>
                <w:lang w:val="en-GB"/>
              </w:rPr>
              <w:t xml:space="preserve">does not allow for an in-depth discussion of topics due to limited </w:t>
            </w:r>
            <w:proofErr w:type="gramStart"/>
            <w:r w:rsidRPr="00D57092">
              <w:rPr>
                <w:sz w:val="24"/>
                <w:szCs w:val="20"/>
                <w:lang w:val="en-GB"/>
              </w:rPr>
              <w:t>time;</w:t>
            </w:r>
            <w:proofErr w:type="gramEnd"/>
          </w:p>
          <w:p w14:paraId="7CF2C6BE" w14:textId="77777777" w:rsidR="00D57092" w:rsidRPr="00D57092" w:rsidRDefault="00D57092" w:rsidP="00FA42CA">
            <w:pPr>
              <w:pStyle w:val="ListParagraph"/>
              <w:numPr>
                <w:ilvl w:val="0"/>
                <w:numId w:val="9"/>
              </w:numPr>
              <w:spacing w:after="0"/>
              <w:ind w:left="346" w:hanging="346"/>
              <w:cnfStyle w:val="000000000000" w:firstRow="0" w:lastRow="0" w:firstColumn="0" w:lastColumn="0" w:oddVBand="0" w:evenVBand="0" w:oddHBand="0" w:evenHBand="0" w:firstRowFirstColumn="0" w:firstRowLastColumn="0" w:lastRowFirstColumn="0" w:lastRowLastColumn="0"/>
              <w:rPr>
                <w:sz w:val="24"/>
                <w:szCs w:val="20"/>
                <w:lang w:val="en-GB"/>
              </w:rPr>
            </w:pPr>
            <w:r w:rsidRPr="00D57092">
              <w:rPr>
                <w:sz w:val="24"/>
                <w:szCs w:val="20"/>
                <w:lang w:val="en-GB"/>
              </w:rPr>
              <w:t xml:space="preserve">digital access is the main factor preventing </w:t>
            </w:r>
            <w:proofErr w:type="gramStart"/>
            <w:r w:rsidRPr="00D57092">
              <w:rPr>
                <w:sz w:val="24"/>
                <w:szCs w:val="20"/>
                <w:lang w:val="en-GB"/>
              </w:rPr>
              <w:t>participation;</w:t>
            </w:r>
            <w:proofErr w:type="gramEnd"/>
          </w:p>
          <w:p w14:paraId="08BF50C0" w14:textId="77777777" w:rsidR="00D57092" w:rsidRPr="00D57092" w:rsidRDefault="00D57092" w:rsidP="00FA42CA">
            <w:pPr>
              <w:pStyle w:val="ListParagraph"/>
              <w:numPr>
                <w:ilvl w:val="0"/>
                <w:numId w:val="9"/>
              </w:numPr>
              <w:spacing w:after="0"/>
              <w:ind w:left="346" w:hanging="346"/>
              <w:cnfStyle w:val="000000000000" w:firstRow="0" w:lastRow="0" w:firstColumn="0" w:lastColumn="0" w:oddVBand="0" w:evenVBand="0" w:oddHBand="0" w:evenHBand="0" w:firstRowFirstColumn="0" w:firstRowLastColumn="0" w:lastRowFirstColumn="0" w:lastRowLastColumn="0"/>
              <w:rPr>
                <w:sz w:val="24"/>
                <w:szCs w:val="20"/>
                <w:lang w:val="en-GB"/>
              </w:rPr>
            </w:pPr>
            <w:r w:rsidRPr="00D57092">
              <w:rPr>
                <w:sz w:val="24"/>
                <w:szCs w:val="20"/>
                <w:lang w:val="en-GB"/>
              </w:rPr>
              <w:t>lower capacity to encourage constructive debates and may require additional moderators.</w:t>
            </w:r>
          </w:p>
        </w:tc>
      </w:tr>
      <w:tr w:rsidR="00D57092" w14:paraId="1B80D8D9" w14:textId="77777777" w:rsidTr="004903EE">
        <w:trPr>
          <w:trHeight w:val="300"/>
        </w:trPr>
        <w:tc>
          <w:tcPr>
            <w:cnfStyle w:val="001000000000" w:firstRow="0" w:lastRow="0" w:firstColumn="1" w:lastColumn="0" w:oddVBand="0" w:evenVBand="0" w:oddHBand="0" w:evenHBand="0" w:firstRowFirstColumn="0" w:firstRowLastColumn="0" w:lastRowFirstColumn="0" w:lastRowLastColumn="0"/>
            <w:tcW w:w="1461" w:type="dxa"/>
            <w:hideMark/>
          </w:tcPr>
          <w:p w14:paraId="6F173415" w14:textId="77777777" w:rsidR="00D57092" w:rsidRPr="00D57092" w:rsidRDefault="00D57092">
            <w:pPr>
              <w:rPr>
                <w:color w:val="12354E" w:themeColor="accent1" w:themeShade="BF"/>
                <w:sz w:val="24"/>
                <w:szCs w:val="20"/>
                <w:lang w:val="en-GB"/>
              </w:rPr>
            </w:pPr>
            <w:r w:rsidRPr="00D57092">
              <w:rPr>
                <w:color w:val="12354E" w:themeColor="accent1" w:themeShade="BF"/>
                <w:sz w:val="24"/>
                <w:szCs w:val="20"/>
                <w:lang w:val="en-GB"/>
              </w:rPr>
              <w:t>In-person engagement</w:t>
            </w:r>
          </w:p>
        </w:tc>
        <w:tc>
          <w:tcPr>
            <w:tcW w:w="3847" w:type="dxa"/>
            <w:hideMark/>
          </w:tcPr>
          <w:p w14:paraId="6835FCCB" w14:textId="77777777" w:rsidR="00D57092" w:rsidRPr="00D57092" w:rsidRDefault="00D57092" w:rsidP="00FA42CA">
            <w:pPr>
              <w:pStyle w:val="ListParagraph"/>
              <w:numPr>
                <w:ilvl w:val="0"/>
                <w:numId w:val="9"/>
              </w:numPr>
              <w:spacing w:after="0"/>
              <w:ind w:left="436"/>
              <w:cnfStyle w:val="000000000000" w:firstRow="0" w:lastRow="0" w:firstColumn="0" w:lastColumn="0" w:oddVBand="0" w:evenVBand="0" w:oddHBand="0" w:evenHBand="0" w:firstRowFirstColumn="0" w:firstRowLastColumn="0" w:lastRowFirstColumn="0" w:lastRowLastColumn="0"/>
              <w:rPr>
                <w:sz w:val="24"/>
                <w:szCs w:val="20"/>
                <w:lang w:val="en-GB"/>
              </w:rPr>
            </w:pPr>
            <w:r w:rsidRPr="00D57092">
              <w:rPr>
                <w:sz w:val="24"/>
                <w:szCs w:val="20"/>
                <w:lang w:val="en-GB"/>
              </w:rPr>
              <w:t xml:space="preserve">potentially fairer procedure of engaging </w:t>
            </w:r>
            <w:proofErr w:type="gramStart"/>
            <w:r w:rsidRPr="00D57092">
              <w:rPr>
                <w:sz w:val="24"/>
                <w:szCs w:val="20"/>
                <w:lang w:val="en-GB"/>
              </w:rPr>
              <w:t>stakeholders;</w:t>
            </w:r>
            <w:proofErr w:type="gramEnd"/>
          </w:p>
          <w:p w14:paraId="7A2FD8A0" w14:textId="77777777" w:rsidR="00D57092" w:rsidRPr="00D57092" w:rsidRDefault="00D57092" w:rsidP="00FA42CA">
            <w:pPr>
              <w:pStyle w:val="ListParagraph"/>
              <w:numPr>
                <w:ilvl w:val="0"/>
                <w:numId w:val="9"/>
              </w:numPr>
              <w:spacing w:after="0"/>
              <w:ind w:left="436"/>
              <w:cnfStyle w:val="000000000000" w:firstRow="0" w:lastRow="0" w:firstColumn="0" w:lastColumn="0" w:oddVBand="0" w:evenVBand="0" w:oddHBand="0" w:evenHBand="0" w:firstRowFirstColumn="0" w:firstRowLastColumn="0" w:lastRowFirstColumn="0" w:lastRowLastColumn="0"/>
              <w:rPr>
                <w:sz w:val="24"/>
                <w:szCs w:val="20"/>
                <w:lang w:val="en-GB"/>
              </w:rPr>
            </w:pPr>
            <w:r w:rsidRPr="00D57092">
              <w:rPr>
                <w:sz w:val="24"/>
                <w:szCs w:val="20"/>
                <w:lang w:val="en-GB"/>
              </w:rPr>
              <w:t xml:space="preserve">provides more opportunities to reach consensus and getting attention of all </w:t>
            </w:r>
            <w:proofErr w:type="gramStart"/>
            <w:r w:rsidRPr="00D57092">
              <w:rPr>
                <w:sz w:val="24"/>
                <w:szCs w:val="20"/>
                <w:lang w:val="en-GB"/>
              </w:rPr>
              <w:t>stakeholders;</w:t>
            </w:r>
            <w:proofErr w:type="gramEnd"/>
          </w:p>
          <w:p w14:paraId="18966D03" w14:textId="77777777" w:rsidR="00D57092" w:rsidRPr="00D57092" w:rsidRDefault="00D57092" w:rsidP="00FA42CA">
            <w:pPr>
              <w:pStyle w:val="ListParagraph"/>
              <w:numPr>
                <w:ilvl w:val="0"/>
                <w:numId w:val="9"/>
              </w:numPr>
              <w:spacing w:after="0"/>
              <w:ind w:left="436"/>
              <w:cnfStyle w:val="000000000000" w:firstRow="0" w:lastRow="0" w:firstColumn="0" w:lastColumn="0" w:oddVBand="0" w:evenVBand="0" w:oddHBand="0" w:evenHBand="0" w:firstRowFirstColumn="0" w:firstRowLastColumn="0" w:lastRowFirstColumn="0" w:lastRowLastColumn="0"/>
              <w:rPr>
                <w:sz w:val="24"/>
                <w:szCs w:val="20"/>
                <w:lang w:val="en-GB"/>
              </w:rPr>
            </w:pPr>
            <w:r w:rsidRPr="00D57092">
              <w:rPr>
                <w:sz w:val="24"/>
                <w:szCs w:val="20"/>
                <w:lang w:val="en-GB"/>
              </w:rPr>
              <w:t>more conducive to developing in-depth discussions.</w:t>
            </w:r>
          </w:p>
        </w:tc>
        <w:tc>
          <w:tcPr>
            <w:tcW w:w="4052" w:type="dxa"/>
            <w:hideMark/>
          </w:tcPr>
          <w:p w14:paraId="5DE0BB5E" w14:textId="77777777" w:rsidR="00D57092" w:rsidRPr="00D57092" w:rsidRDefault="00D57092" w:rsidP="00FA42CA">
            <w:pPr>
              <w:pStyle w:val="ListParagraph"/>
              <w:numPr>
                <w:ilvl w:val="0"/>
                <w:numId w:val="9"/>
              </w:numPr>
              <w:spacing w:after="0"/>
              <w:ind w:left="346" w:hanging="346"/>
              <w:cnfStyle w:val="000000000000" w:firstRow="0" w:lastRow="0" w:firstColumn="0" w:lastColumn="0" w:oddVBand="0" w:evenVBand="0" w:oddHBand="0" w:evenHBand="0" w:firstRowFirstColumn="0" w:firstRowLastColumn="0" w:lastRowFirstColumn="0" w:lastRowLastColumn="0"/>
              <w:rPr>
                <w:sz w:val="24"/>
                <w:szCs w:val="20"/>
                <w:lang w:val="en-GB"/>
              </w:rPr>
            </w:pPr>
            <w:r w:rsidRPr="00D57092">
              <w:rPr>
                <w:sz w:val="24"/>
                <w:szCs w:val="20"/>
                <w:lang w:val="en-GB"/>
              </w:rPr>
              <w:t>potential drawbacks in terms of inclusion (financial costs and time requirement</w:t>
            </w:r>
            <w:proofErr w:type="gramStart"/>
            <w:r w:rsidRPr="00D57092">
              <w:rPr>
                <w:sz w:val="24"/>
                <w:szCs w:val="20"/>
                <w:lang w:val="en-GB"/>
              </w:rPr>
              <w:t>);</w:t>
            </w:r>
            <w:proofErr w:type="gramEnd"/>
          </w:p>
          <w:p w14:paraId="1180F698" w14:textId="77777777" w:rsidR="00D57092" w:rsidRPr="00D57092" w:rsidRDefault="00D57092" w:rsidP="00FA42CA">
            <w:pPr>
              <w:pStyle w:val="ListParagraph"/>
              <w:numPr>
                <w:ilvl w:val="0"/>
                <w:numId w:val="9"/>
              </w:numPr>
              <w:spacing w:after="0"/>
              <w:ind w:left="346" w:hanging="346"/>
              <w:cnfStyle w:val="000000000000" w:firstRow="0" w:lastRow="0" w:firstColumn="0" w:lastColumn="0" w:oddVBand="0" w:evenVBand="0" w:oddHBand="0" w:evenHBand="0" w:firstRowFirstColumn="0" w:firstRowLastColumn="0" w:lastRowFirstColumn="0" w:lastRowLastColumn="0"/>
              <w:rPr>
                <w:sz w:val="24"/>
                <w:szCs w:val="20"/>
                <w:lang w:val="en-GB"/>
              </w:rPr>
            </w:pPr>
            <w:r w:rsidRPr="00D57092">
              <w:rPr>
                <w:sz w:val="24"/>
                <w:szCs w:val="20"/>
                <w:lang w:val="en-GB"/>
              </w:rPr>
              <w:t xml:space="preserve">level of transparency depends on the facilitator and the focal point, </w:t>
            </w:r>
            <w:proofErr w:type="gramStart"/>
            <w:r w:rsidRPr="00D57092">
              <w:rPr>
                <w:sz w:val="24"/>
                <w:szCs w:val="20"/>
                <w:lang w:val="en-GB"/>
              </w:rPr>
              <w:t>e.g.</w:t>
            </w:r>
            <w:proofErr w:type="gramEnd"/>
            <w:r w:rsidRPr="00D57092">
              <w:rPr>
                <w:sz w:val="24"/>
                <w:szCs w:val="20"/>
                <w:lang w:val="en-GB"/>
              </w:rPr>
              <w:t xml:space="preserve"> whether some segments of the event or process are open only to a </w:t>
            </w:r>
            <w:r w:rsidRPr="00D57092">
              <w:rPr>
                <w:sz w:val="24"/>
                <w:szCs w:val="20"/>
                <w:lang w:val="en-GB"/>
              </w:rPr>
              <w:lastRenderedPageBreak/>
              <w:t>certain group of stakeholders or if inputs are gathered in a different manner.</w:t>
            </w:r>
          </w:p>
        </w:tc>
      </w:tr>
      <w:tr w:rsidR="00D57092" w14:paraId="7E8FCF9B" w14:textId="77777777" w:rsidTr="004903EE">
        <w:trPr>
          <w:trHeight w:val="300"/>
        </w:trPr>
        <w:tc>
          <w:tcPr>
            <w:cnfStyle w:val="001000000000" w:firstRow="0" w:lastRow="0" w:firstColumn="1" w:lastColumn="0" w:oddVBand="0" w:evenVBand="0" w:oddHBand="0" w:evenHBand="0" w:firstRowFirstColumn="0" w:firstRowLastColumn="0" w:lastRowFirstColumn="0" w:lastRowLastColumn="0"/>
            <w:tcW w:w="1461" w:type="dxa"/>
            <w:hideMark/>
          </w:tcPr>
          <w:p w14:paraId="390BB614" w14:textId="77777777" w:rsidR="00D57092" w:rsidRPr="00D57092" w:rsidRDefault="00D57092">
            <w:pPr>
              <w:rPr>
                <w:color w:val="12354E" w:themeColor="accent1" w:themeShade="BF"/>
                <w:sz w:val="24"/>
                <w:szCs w:val="20"/>
                <w:lang w:val="en-GB"/>
              </w:rPr>
            </w:pPr>
            <w:r w:rsidRPr="00D57092">
              <w:rPr>
                <w:color w:val="12354E" w:themeColor="accent1" w:themeShade="BF"/>
                <w:sz w:val="24"/>
                <w:szCs w:val="20"/>
                <w:lang w:val="en-GB"/>
              </w:rPr>
              <w:lastRenderedPageBreak/>
              <w:t>Blended</w:t>
            </w:r>
          </w:p>
        </w:tc>
        <w:tc>
          <w:tcPr>
            <w:tcW w:w="3847" w:type="dxa"/>
            <w:hideMark/>
          </w:tcPr>
          <w:p w14:paraId="1154EE6B" w14:textId="77777777" w:rsidR="00D57092" w:rsidRPr="00D57092" w:rsidRDefault="00D57092" w:rsidP="00FA42CA">
            <w:pPr>
              <w:pStyle w:val="ListParagraph"/>
              <w:numPr>
                <w:ilvl w:val="0"/>
                <w:numId w:val="10"/>
              </w:numPr>
              <w:spacing w:after="0"/>
              <w:ind w:left="436"/>
              <w:cnfStyle w:val="000000000000" w:firstRow="0" w:lastRow="0" w:firstColumn="0" w:lastColumn="0" w:oddVBand="0" w:evenVBand="0" w:oddHBand="0" w:evenHBand="0" w:firstRowFirstColumn="0" w:firstRowLastColumn="0" w:lastRowFirstColumn="0" w:lastRowLastColumn="0"/>
              <w:rPr>
                <w:sz w:val="24"/>
                <w:szCs w:val="20"/>
                <w:lang w:val="en-GB"/>
              </w:rPr>
            </w:pPr>
            <w:r w:rsidRPr="00D57092">
              <w:rPr>
                <w:sz w:val="24"/>
                <w:szCs w:val="20"/>
                <w:lang w:val="en-GB"/>
              </w:rPr>
              <w:t xml:space="preserve">may be the most comprehensive approach for generating and gathering stakeholder </w:t>
            </w:r>
            <w:proofErr w:type="gramStart"/>
            <w:r w:rsidRPr="00D57092">
              <w:rPr>
                <w:sz w:val="24"/>
                <w:szCs w:val="20"/>
                <w:lang w:val="en-GB"/>
              </w:rPr>
              <w:t>input;</w:t>
            </w:r>
            <w:proofErr w:type="gramEnd"/>
          </w:p>
          <w:p w14:paraId="024B277C" w14:textId="77777777" w:rsidR="00D57092" w:rsidRPr="00D57092" w:rsidRDefault="00D57092" w:rsidP="00FA42CA">
            <w:pPr>
              <w:pStyle w:val="ListParagraph"/>
              <w:numPr>
                <w:ilvl w:val="0"/>
                <w:numId w:val="10"/>
              </w:numPr>
              <w:spacing w:after="0"/>
              <w:ind w:left="436"/>
              <w:cnfStyle w:val="000000000000" w:firstRow="0" w:lastRow="0" w:firstColumn="0" w:lastColumn="0" w:oddVBand="0" w:evenVBand="0" w:oddHBand="0" w:evenHBand="0" w:firstRowFirstColumn="0" w:firstRowLastColumn="0" w:lastRowFirstColumn="0" w:lastRowLastColumn="0"/>
              <w:rPr>
                <w:sz w:val="24"/>
                <w:szCs w:val="20"/>
                <w:lang w:val="en-GB"/>
              </w:rPr>
            </w:pPr>
            <w:r w:rsidRPr="00D57092">
              <w:rPr>
                <w:sz w:val="24"/>
                <w:szCs w:val="20"/>
                <w:lang w:val="en-GB"/>
              </w:rPr>
              <w:t>can be used to enhance stakeholder inclusion when some stakeholders are unable to attend in-person, and a</w:t>
            </w:r>
            <w:r w:rsidRPr="00EB3205">
              <w:rPr>
                <w:sz w:val="24"/>
                <w:szCs w:val="20"/>
                <w:lang w:val="en-GB"/>
              </w:rPr>
              <w:t>greement by consensus</w:t>
            </w:r>
            <w:r w:rsidRPr="00D57092">
              <w:rPr>
                <w:sz w:val="24"/>
                <w:szCs w:val="20"/>
                <w:lang w:val="en-GB"/>
              </w:rPr>
              <w:t xml:space="preserve"> through two-step approach.</w:t>
            </w:r>
          </w:p>
        </w:tc>
        <w:tc>
          <w:tcPr>
            <w:tcW w:w="4052" w:type="dxa"/>
            <w:hideMark/>
          </w:tcPr>
          <w:p w14:paraId="183684C2" w14:textId="77777777" w:rsidR="00D57092" w:rsidRPr="00D57092" w:rsidRDefault="00D57092" w:rsidP="00FA42CA">
            <w:pPr>
              <w:pStyle w:val="ListParagraph"/>
              <w:numPr>
                <w:ilvl w:val="0"/>
                <w:numId w:val="10"/>
              </w:numPr>
              <w:spacing w:after="0"/>
              <w:ind w:left="346"/>
              <w:cnfStyle w:val="000000000000" w:firstRow="0" w:lastRow="0" w:firstColumn="0" w:lastColumn="0" w:oddVBand="0" w:evenVBand="0" w:oddHBand="0" w:evenHBand="0" w:firstRowFirstColumn="0" w:firstRowLastColumn="0" w:lastRowFirstColumn="0" w:lastRowLastColumn="0"/>
              <w:rPr>
                <w:sz w:val="24"/>
                <w:szCs w:val="20"/>
                <w:lang w:val="en-GB"/>
              </w:rPr>
            </w:pPr>
            <w:r w:rsidRPr="00D57092">
              <w:rPr>
                <w:sz w:val="24"/>
                <w:szCs w:val="20"/>
                <w:lang w:val="en-GB"/>
              </w:rPr>
              <w:t>potential procedural fairness issues as the views of in-person participants may take precedence over those attending online.</w:t>
            </w:r>
          </w:p>
        </w:tc>
      </w:tr>
    </w:tbl>
    <w:p w14:paraId="6351859F" w14:textId="2162BE09" w:rsidR="00342022" w:rsidRPr="00D57092" w:rsidRDefault="00D57092" w:rsidP="00D57092">
      <w:pPr>
        <w:spacing w:before="120"/>
        <w:rPr>
          <w:rFonts w:eastAsiaTheme="minorEastAsia"/>
          <w:i/>
          <w:iCs/>
          <w:color w:val="12354E" w:themeColor="accent1" w:themeShade="BF"/>
          <w:sz w:val="20"/>
          <w:szCs w:val="20"/>
        </w:rPr>
      </w:pPr>
      <w:r w:rsidRPr="00D57092">
        <w:rPr>
          <w:rFonts w:eastAsiaTheme="minorEastAsia"/>
          <w:i/>
          <w:iCs/>
          <w:color w:val="12354E" w:themeColor="accent1" w:themeShade="BF"/>
          <w:sz w:val="20"/>
          <w:szCs w:val="20"/>
        </w:rPr>
        <w:t>Table 2: Overview advantages and disadvantages of different stakeholder engagement modalities</w:t>
      </w:r>
      <w:r w:rsidRPr="00D57092">
        <w:rPr>
          <w:rStyle w:val="FootnoteReference"/>
          <w:rFonts w:eastAsiaTheme="minorEastAsia"/>
          <w:i/>
          <w:iCs/>
          <w:color w:val="12354E" w:themeColor="accent1" w:themeShade="BF"/>
          <w:sz w:val="20"/>
          <w:szCs w:val="20"/>
        </w:rPr>
        <w:footnoteReference w:id="5"/>
      </w:r>
    </w:p>
    <w:p w14:paraId="6393BDF9" w14:textId="77777777" w:rsidR="00D57092" w:rsidRPr="00EB3205" w:rsidRDefault="00D57092" w:rsidP="00357599">
      <w:pPr>
        <w:pStyle w:val="Body"/>
        <w:jc w:val="both"/>
        <w:rPr>
          <w:rFonts w:cstheme="minorHAnsi"/>
          <w:b/>
          <w:bCs/>
          <w:lang w:val="en-GB"/>
        </w:rPr>
      </w:pPr>
    </w:p>
    <w:p w14:paraId="30EDE204" w14:textId="3AE30B63" w:rsidR="00D57092" w:rsidRDefault="00D57092" w:rsidP="00D57092">
      <w:pPr>
        <w:spacing w:after="240"/>
        <w:rPr>
          <w:color w:val="12354E" w:themeColor="accent1" w:themeShade="BF"/>
        </w:rPr>
      </w:pPr>
      <w:r w:rsidRPr="00D57092">
        <w:rPr>
          <w:color w:val="12354E" w:themeColor="accent1" w:themeShade="BF"/>
        </w:rPr>
        <w:t>Box 1 provides examples and lessons learned from country consultations from the 2020 round of SDG 6.5.1 monitoring.</w:t>
      </w:r>
    </w:p>
    <w:p w14:paraId="3338A524" w14:textId="16F81B23" w:rsidR="0090455F" w:rsidRDefault="0090455F" w:rsidP="00D57092">
      <w:pPr>
        <w:spacing w:after="240"/>
        <w:rPr>
          <w:color w:val="12354E" w:themeColor="accent1" w:themeShade="BF"/>
        </w:rPr>
      </w:pPr>
      <w:r>
        <w:rPr>
          <w:noProof/>
          <w:lang w:val="fr-FR"/>
        </w:rPr>
        <mc:AlternateContent>
          <mc:Choice Requires="wps">
            <w:drawing>
              <wp:inline distT="0" distB="0" distL="0" distR="0" wp14:anchorId="4735DE90" wp14:editId="230484A0">
                <wp:extent cx="5605272" cy="3819525"/>
                <wp:effectExtent l="0" t="0" r="0" b="9525"/>
                <wp:docPr id="8" name="Text Box 8"/>
                <wp:cNvGraphicFramePr/>
                <a:graphic xmlns:a="http://schemas.openxmlformats.org/drawingml/2006/main">
                  <a:graphicData uri="http://schemas.microsoft.com/office/word/2010/wordprocessingShape">
                    <wps:wsp>
                      <wps:cNvSpPr txBox="1"/>
                      <wps:spPr>
                        <a:xfrm>
                          <a:off x="0" y="0"/>
                          <a:ext cx="5605272" cy="3819525"/>
                        </a:xfrm>
                        <a:prstGeom prst="rect">
                          <a:avLst/>
                        </a:prstGeom>
                        <a:solidFill>
                          <a:schemeClr val="accent4">
                            <a:lumMod val="20000"/>
                            <a:lumOff val="80000"/>
                          </a:schemeClr>
                        </a:solidFill>
                        <a:ln w="6350">
                          <a:noFill/>
                        </a:ln>
                      </wps:spPr>
                      <wps:txbx>
                        <w:txbxContent>
                          <w:p w14:paraId="5B9DC95A" w14:textId="77777777" w:rsidR="0090455F" w:rsidRPr="0090455F" w:rsidRDefault="0090455F" w:rsidP="0090455F">
                            <w:pPr>
                              <w:rPr>
                                <w:b/>
                                <w:bCs/>
                                <w:color w:val="4EB3B9" w:themeColor="accent4"/>
                                <w:sz w:val="28"/>
                                <w:szCs w:val="28"/>
                              </w:rPr>
                            </w:pPr>
                            <w:r w:rsidRPr="0090455F">
                              <w:rPr>
                                <w:b/>
                                <w:bCs/>
                                <w:color w:val="4EB3B9" w:themeColor="accent4"/>
                                <w:sz w:val="28"/>
                                <w:szCs w:val="28"/>
                              </w:rPr>
                              <w:t>Indonesia: multiple online events approach</w:t>
                            </w:r>
                          </w:p>
                          <w:p w14:paraId="4F42795B" w14:textId="77777777" w:rsidR="0090455F" w:rsidRPr="0090455F" w:rsidRDefault="0090455F" w:rsidP="0090455F">
                            <w:pPr>
                              <w:numPr>
                                <w:ilvl w:val="0"/>
                                <w:numId w:val="11"/>
                              </w:numPr>
                              <w:rPr>
                                <w:color w:val="44546A" w:themeColor="text2"/>
                              </w:rPr>
                            </w:pPr>
                            <w:r w:rsidRPr="0090455F">
                              <w:rPr>
                                <w:color w:val="44546A" w:themeColor="text2"/>
                              </w:rPr>
                              <w:t xml:space="preserve">high degree of stakeholder inclusion, involving 50 </w:t>
                            </w:r>
                            <w:proofErr w:type="gramStart"/>
                            <w:r w:rsidRPr="0090455F">
                              <w:rPr>
                                <w:color w:val="44546A" w:themeColor="text2"/>
                              </w:rPr>
                              <w:t>participants;</w:t>
                            </w:r>
                            <w:proofErr w:type="gramEnd"/>
                          </w:p>
                          <w:p w14:paraId="443674F8" w14:textId="77777777" w:rsidR="0090455F" w:rsidRPr="0090455F" w:rsidRDefault="0090455F" w:rsidP="0090455F">
                            <w:pPr>
                              <w:numPr>
                                <w:ilvl w:val="0"/>
                                <w:numId w:val="11"/>
                              </w:numPr>
                              <w:rPr>
                                <w:color w:val="44546A" w:themeColor="text2"/>
                              </w:rPr>
                            </w:pPr>
                            <w:r w:rsidRPr="0090455F">
                              <w:rPr>
                                <w:color w:val="44546A" w:themeColor="text2"/>
                              </w:rPr>
                              <w:t>the consultation process was supported by Indonesia Water Partnership (</w:t>
                            </w:r>
                            <w:proofErr w:type="spellStart"/>
                            <w:r w:rsidRPr="0090455F">
                              <w:rPr>
                                <w:color w:val="44546A" w:themeColor="text2"/>
                              </w:rPr>
                              <w:t>InaWP</w:t>
                            </w:r>
                            <w:proofErr w:type="spellEnd"/>
                            <w:proofErr w:type="gramStart"/>
                            <w:r w:rsidRPr="0090455F">
                              <w:rPr>
                                <w:color w:val="44546A" w:themeColor="text2"/>
                              </w:rPr>
                              <w:t>);</w:t>
                            </w:r>
                            <w:proofErr w:type="gramEnd"/>
                          </w:p>
                          <w:p w14:paraId="783230EC" w14:textId="7B75441D" w:rsidR="0090455F" w:rsidRPr="0090455F" w:rsidRDefault="0090455F" w:rsidP="0090455F">
                            <w:pPr>
                              <w:numPr>
                                <w:ilvl w:val="0"/>
                                <w:numId w:val="11"/>
                              </w:numPr>
                              <w:rPr>
                                <w:color w:val="44546A" w:themeColor="text2"/>
                              </w:rPr>
                            </w:pPr>
                            <w:r w:rsidRPr="0090455F">
                              <w:rPr>
                                <w:color w:val="44546A" w:themeColor="text2"/>
                              </w:rPr>
                              <w:t xml:space="preserve">participants submitted their scores using a Google Form prior to the workshops which were consolidated by </w:t>
                            </w:r>
                            <w:proofErr w:type="spellStart"/>
                            <w:r w:rsidRPr="0090455F">
                              <w:rPr>
                                <w:color w:val="44546A" w:themeColor="text2"/>
                              </w:rPr>
                              <w:t>InaWP</w:t>
                            </w:r>
                            <w:proofErr w:type="spellEnd"/>
                            <w:r w:rsidRPr="0090455F">
                              <w:rPr>
                                <w:color w:val="44546A" w:themeColor="text2"/>
                              </w:rPr>
                              <w:t xml:space="preserve"> </w:t>
                            </w:r>
                            <w:r w:rsidRPr="0090455F">
                              <w:rPr>
                                <w:i/>
                                <w:iCs/>
                                <w:color w:val="44546A" w:themeColor="text2"/>
                              </w:rPr>
                              <w:t xml:space="preserve">(online IWRM Survey Tools now available, see </w:t>
                            </w:r>
                            <w:hyperlink r:id="rId51" w:history="1">
                              <w:r w:rsidRPr="00866366">
                                <w:rPr>
                                  <w:rStyle w:val="Hyperlink"/>
                                  <w:i/>
                                  <w:iCs/>
                                </w:rPr>
                                <w:t>Annex 1</w:t>
                              </w:r>
                            </w:hyperlink>
                            <w:proofErr w:type="gramStart"/>
                            <w:r w:rsidRPr="0090455F">
                              <w:rPr>
                                <w:i/>
                                <w:iCs/>
                                <w:color w:val="44546A" w:themeColor="text2"/>
                              </w:rPr>
                              <w:t>)</w:t>
                            </w:r>
                            <w:r w:rsidRPr="0090455F">
                              <w:rPr>
                                <w:color w:val="44546A" w:themeColor="text2"/>
                              </w:rPr>
                              <w:t>;</w:t>
                            </w:r>
                            <w:proofErr w:type="gramEnd"/>
                          </w:p>
                          <w:p w14:paraId="3528CDF6" w14:textId="77777777" w:rsidR="0069679F" w:rsidRDefault="0090455F" w:rsidP="0069679F">
                            <w:pPr>
                              <w:numPr>
                                <w:ilvl w:val="0"/>
                                <w:numId w:val="11"/>
                              </w:numPr>
                              <w:rPr>
                                <w:b/>
                                <w:bCs/>
                                <w:color w:val="44546A" w:themeColor="text2"/>
                              </w:rPr>
                            </w:pPr>
                            <w:proofErr w:type="spellStart"/>
                            <w:r w:rsidRPr="0090455F">
                              <w:rPr>
                                <w:color w:val="44546A" w:themeColor="text2"/>
                              </w:rPr>
                              <w:t>InaWP</w:t>
                            </w:r>
                            <w:proofErr w:type="spellEnd"/>
                            <w:r w:rsidRPr="0090455F">
                              <w:rPr>
                                <w:color w:val="44546A" w:themeColor="text2"/>
                              </w:rPr>
                              <w:t xml:space="preserve"> held one-to-one discussions with stakeholders, followed by two online workshops, one for national and another for basin level stakeholders.</w:t>
                            </w:r>
                          </w:p>
                          <w:p w14:paraId="2D2BCD5E" w14:textId="77777777" w:rsidR="0069679F" w:rsidRDefault="0069679F" w:rsidP="0069679F">
                            <w:pPr>
                              <w:ind w:left="720"/>
                              <w:rPr>
                                <w:b/>
                                <w:bCs/>
                                <w:color w:val="44546A" w:themeColor="text2"/>
                              </w:rPr>
                            </w:pPr>
                          </w:p>
                          <w:p w14:paraId="6CB7688B" w14:textId="7972336D" w:rsidR="0069679F" w:rsidRPr="0069679F" w:rsidRDefault="0069679F" w:rsidP="0069679F">
                            <w:pPr>
                              <w:rPr>
                                <w:b/>
                                <w:bCs/>
                                <w:color w:val="44546A" w:themeColor="text2"/>
                              </w:rPr>
                            </w:pPr>
                            <w:r w:rsidRPr="0069679F">
                              <w:rPr>
                                <w:b/>
                                <w:bCs/>
                                <w:color w:val="4EB3B9" w:themeColor="accent4"/>
                                <w:sz w:val="28"/>
                                <w:szCs w:val="28"/>
                              </w:rPr>
                              <w:t>Guatemala: online workshop approach (2 days)</w:t>
                            </w:r>
                          </w:p>
                          <w:p w14:paraId="53329BA6" w14:textId="77777777" w:rsidR="0069679F" w:rsidRPr="0090455F" w:rsidRDefault="0069679F" w:rsidP="0069679F">
                            <w:pPr>
                              <w:numPr>
                                <w:ilvl w:val="0"/>
                                <w:numId w:val="11"/>
                              </w:numPr>
                              <w:rPr>
                                <w:color w:val="44546A" w:themeColor="text2"/>
                              </w:rPr>
                            </w:pPr>
                            <w:r w:rsidRPr="0090455F">
                              <w:rPr>
                                <w:color w:val="44546A" w:themeColor="text2"/>
                              </w:rPr>
                              <w:t xml:space="preserve">the highest sectoral diversity of the four cases, involving 68 </w:t>
                            </w:r>
                            <w:proofErr w:type="gramStart"/>
                            <w:r w:rsidRPr="0090455F">
                              <w:rPr>
                                <w:color w:val="44546A" w:themeColor="text2"/>
                              </w:rPr>
                              <w:t>participants;</w:t>
                            </w:r>
                            <w:proofErr w:type="gramEnd"/>
                          </w:p>
                          <w:p w14:paraId="578A1295" w14:textId="77777777" w:rsidR="0069679F" w:rsidRPr="0090455F" w:rsidRDefault="0069679F" w:rsidP="0069679F">
                            <w:pPr>
                              <w:numPr>
                                <w:ilvl w:val="0"/>
                                <w:numId w:val="11"/>
                              </w:numPr>
                              <w:rPr>
                                <w:color w:val="44546A" w:themeColor="text2"/>
                              </w:rPr>
                            </w:pPr>
                            <w:r w:rsidRPr="0090455F">
                              <w:rPr>
                                <w:color w:val="44546A" w:themeColor="text2"/>
                              </w:rPr>
                              <w:t xml:space="preserve">participants familiarised with the survey prior to online workshop through email </w:t>
                            </w:r>
                            <w:proofErr w:type="gramStart"/>
                            <w:r w:rsidRPr="0090455F">
                              <w:rPr>
                                <w:color w:val="44546A" w:themeColor="text2"/>
                              </w:rPr>
                              <w:t>exchange;</w:t>
                            </w:r>
                            <w:proofErr w:type="gramEnd"/>
                          </w:p>
                          <w:p w14:paraId="66F7D1D1" w14:textId="77777777" w:rsidR="0069679F" w:rsidRPr="0090455F" w:rsidRDefault="0069679F" w:rsidP="0069679F">
                            <w:pPr>
                              <w:numPr>
                                <w:ilvl w:val="0"/>
                                <w:numId w:val="11"/>
                              </w:numPr>
                              <w:rPr>
                                <w:color w:val="44546A" w:themeColor="text2"/>
                              </w:rPr>
                            </w:pPr>
                            <w:r w:rsidRPr="0090455F">
                              <w:rPr>
                                <w:color w:val="44546A" w:themeColor="text2"/>
                              </w:rPr>
                              <w:t xml:space="preserve">an online workshop was held over two days, where participants first discussed the survey in detail, then completed the scores for each section in groups and validated the results on the second </w:t>
                            </w:r>
                            <w:proofErr w:type="gramStart"/>
                            <w:r w:rsidRPr="0090455F">
                              <w:rPr>
                                <w:color w:val="44546A" w:themeColor="text2"/>
                              </w:rPr>
                              <w:t>day;</w:t>
                            </w:r>
                            <w:proofErr w:type="gramEnd"/>
                          </w:p>
                          <w:p w14:paraId="4C392A26" w14:textId="77777777" w:rsidR="0069679F" w:rsidRPr="0090455F" w:rsidRDefault="0069679F" w:rsidP="0069679F">
                            <w:pPr>
                              <w:numPr>
                                <w:ilvl w:val="0"/>
                                <w:numId w:val="11"/>
                              </w:numPr>
                              <w:rPr>
                                <w:color w:val="44546A" w:themeColor="text2"/>
                              </w:rPr>
                            </w:pPr>
                            <w:r w:rsidRPr="0090455F">
                              <w:rPr>
                                <w:color w:val="44546A" w:themeColor="text2"/>
                              </w:rPr>
                              <w:t>A feedback session was organized to understand and resolve differences.</w:t>
                            </w:r>
                          </w:p>
                          <w:p w14:paraId="6403FD8E" w14:textId="77777777" w:rsidR="0090455F" w:rsidRDefault="0090455F" w:rsidP="0090455F">
                            <w:pPr>
                              <w:rPr>
                                <w:color w:val="44546A" w:themeColor="text2"/>
                              </w:rPr>
                            </w:pPr>
                          </w:p>
                          <w:p w14:paraId="2AC75F14" w14:textId="0D7195C2" w:rsidR="0090455F" w:rsidRPr="0090455F" w:rsidRDefault="0090455F" w:rsidP="0090455F">
                            <w:pPr>
                              <w:rPr>
                                <w:color w:val="44546A" w:themeColor="text2"/>
                              </w:rPr>
                            </w:pPr>
                          </w:p>
                          <w:p w14:paraId="3D973DE9" w14:textId="77777777" w:rsidR="0090455F" w:rsidRPr="0090455F" w:rsidRDefault="0090455F" w:rsidP="0090455F"/>
                        </w:txbxContent>
                      </wps:txbx>
                      <wps:bodyPr rot="0" spcFirstLastPara="0" vertOverflow="overflow" horzOverflow="overflow" vert="horz" wrap="square" lIns="144000" tIns="108000" rIns="144000" bIns="144000" numCol="1" spcCol="0" rtlCol="0" fromWordArt="0" anchor="ctr" anchorCtr="0" forceAA="0" compatLnSpc="1">
                        <a:prstTxWarp prst="textNoShape">
                          <a:avLst/>
                        </a:prstTxWarp>
                        <a:noAutofit/>
                      </wps:bodyPr>
                    </wps:wsp>
                  </a:graphicData>
                </a:graphic>
              </wp:inline>
            </w:drawing>
          </mc:Choice>
          <mc:Fallback>
            <w:pict>
              <v:shapetype w14:anchorId="4735DE90" id="_x0000_t202" coordsize="21600,21600" o:spt="202" path="m,l,21600r21600,l21600,xe">
                <v:stroke joinstyle="miter"/>
                <v:path gradientshapeok="t" o:connecttype="rect"/>
              </v:shapetype>
              <v:shape id="Text Box 8" o:spid="_x0000_s1026" type="#_x0000_t202" style="width:441.35pt;height:300.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" fillcolor="#dbeff1 [663]" stroked="f" strokeweight=".5pt">
                <v:textbox inset="4mm,3mm,4mm,4mm">
                  <w:txbxContent>
                    <w:p w14:paraId="5B9DC95A" w14:textId="77777777" w:rsidR="0090455F" w:rsidRPr="0090455F" w:rsidRDefault="0090455F" w:rsidP="0090455F">
                      <w:pPr>
                        <w:rPr>
                          <w:b/>
                          <w:bCs/>
                          <w:color w:val="4EB3B9" w:themeColor="accent4"/>
                          <w:sz w:val="28"/>
                          <w:szCs w:val="28"/>
                        </w:rPr>
                      </w:pPr>
                      <w:r w:rsidRPr="0090455F">
                        <w:rPr>
                          <w:b/>
                          <w:bCs/>
                          <w:color w:val="4EB3B9" w:themeColor="accent4"/>
                          <w:sz w:val="28"/>
                          <w:szCs w:val="28"/>
                        </w:rPr>
                        <w:t>Indonesia: multiple online events approach</w:t>
                      </w:r>
                    </w:p>
                    <w:p w14:paraId="4F42795B" w14:textId="77777777" w:rsidR="0090455F" w:rsidRPr="0090455F" w:rsidRDefault="0090455F" w:rsidP="0090455F">
                      <w:pPr>
                        <w:numPr>
                          <w:ilvl w:val="0"/>
                          <w:numId w:val="11"/>
                        </w:numPr>
                        <w:rPr>
                          <w:color w:val="44546A" w:themeColor="text2"/>
                        </w:rPr>
                      </w:pPr>
                      <w:r w:rsidRPr="0090455F">
                        <w:rPr>
                          <w:color w:val="44546A" w:themeColor="text2"/>
                        </w:rPr>
                        <w:t xml:space="preserve">high degree of stakeholder inclusion, involving 50 </w:t>
                      </w:r>
                      <w:proofErr w:type="gramStart"/>
                      <w:r w:rsidRPr="0090455F">
                        <w:rPr>
                          <w:color w:val="44546A" w:themeColor="text2"/>
                        </w:rPr>
                        <w:t>participants;</w:t>
                      </w:r>
                      <w:proofErr w:type="gramEnd"/>
                    </w:p>
                    <w:p w14:paraId="443674F8" w14:textId="77777777" w:rsidR="0090455F" w:rsidRPr="0090455F" w:rsidRDefault="0090455F" w:rsidP="0090455F">
                      <w:pPr>
                        <w:numPr>
                          <w:ilvl w:val="0"/>
                          <w:numId w:val="11"/>
                        </w:numPr>
                        <w:rPr>
                          <w:color w:val="44546A" w:themeColor="text2"/>
                        </w:rPr>
                      </w:pPr>
                      <w:r w:rsidRPr="0090455F">
                        <w:rPr>
                          <w:color w:val="44546A" w:themeColor="text2"/>
                        </w:rPr>
                        <w:t>the consultation process was supported by Indonesia Water Partnership (</w:t>
                      </w:r>
                      <w:proofErr w:type="spellStart"/>
                      <w:r w:rsidRPr="0090455F">
                        <w:rPr>
                          <w:color w:val="44546A" w:themeColor="text2"/>
                        </w:rPr>
                        <w:t>InaWP</w:t>
                      </w:r>
                      <w:proofErr w:type="spellEnd"/>
                      <w:proofErr w:type="gramStart"/>
                      <w:r w:rsidRPr="0090455F">
                        <w:rPr>
                          <w:color w:val="44546A" w:themeColor="text2"/>
                        </w:rPr>
                        <w:t>);</w:t>
                      </w:r>
                      <w:proofErr w:type="gramEnd"/>
                    </w:p>
                    <w:p w14:paraId="783230EC" w14:textId="7B75441D" w:rsidR="0090455F" w:rsidRPr="0090455F" w:rsidRDefault="0090455F" w:rsidP="0090455F">
                      <w:pPr>
                        <w:numPr>
                          <w:ilvl w:val="0"/>
                          <w:numId w:val="11"/>
                        </w:numPr>
                        <w:rPr>
                          <w:color w:val="44546A" w:themeColor="text2"/>
                        </w:rPr>
                      </w:pPr>
                      <w:r w:rsidRPr="0090455F">
                        <w:rPr>
                          <w:color w:val="44546A" w:themeColor="text2"/>
                        </w:rPr>
                        <w:t xml:space="preserve">participants submitted their scores using a Google Form prior to the workshops which were consolidated by </w:t>
                      </w:r>
                      <w:proofErr w:type="spellStart"/>
                      <w:r w:rsidRPr="0090455F">
                        <w:rPr>
                          <w:color w:val="44546A" w:themeColor="text2"/>
                        </w:rPr>
                        <w:t>InaWP</w:t>
                      </w:r>
                      <w:proofErr w:type="spellEnd"/>
                      <w:r w:rsidRPr="0090455F">
                        <w:rPr>
                          <w:color w:val="44546A" w:themeColor="text2"/>
                        </w:rPr>
                        <w:t xml:space="preserve"> </w:t>
                      </w:r>
                      <w:r w:rsidRPr="0090455F">
                        <w:rPr>
                          <w:i/>
                          <w:iCs/>
                          <w:color w:val="44546A" w:themeColor="text2"/>
                        </w:rPr>
                        <w:t xml:space="preserve">(online IWRM Survey Tools now available, see </w:t>
                      </w:r>
                      <w:hyperlink r:id="rId52" w:history="1">
                        <w:r w:rsidRPr="00866366">
                          <w:rPr>
                            <w:rStyle w:val="Hyperlink"/>
                            <w:i/>
                            <w:iCs/>
                          </w:rPr>
                          <w:t>Annex 1</w:t>
                        </w:r>
                      </w:hyperlink>
                      <w:proofErr w:type="gramStart"/>
                      <w:r w:rsidRPr="0090455F">
                        <w:rPr>
                          <w:i/>
                          <w:iCs/>
                          <w:color w:val="44546A" w:themeColor="text2"/>
                        </w:rPr>
                        <w:t>)</w:t>
                      </w:r>
                      <w:r w:rsidRPr="0090455F">
                        <w:rPr>
                          <w:color w:val="44546A" w:themeColor="text2"/>
                        </w:rPr>
                        <w:t>;</w:t>
                      </w:r>
                      <w:proofErr w:type="gramEnd"/>
                    </w:p>
                    <w:p w14:paraId="3528CDF6" w14:textId="77777777" w:rsidR="0069679F" w:rsidRDefault="0090455F" w:rsidP="0069679F">
                      <w:pPr>
                        <w:numPr>
                          <w:ilvl w:val="0"/>
                          <w:numId w:val="11"/>
                        </w:numPr>
                        <w:rPr>
                          <w:b/>
                          <w:bCs/>
                          <w:color w:val="44546A" w:themeColor="text2"/>
                        </w:rPr>
                      </w:pPr>
                      <w:proofErr w:type="spellStart"/>
                      <w:r w:rsidRPr="0090455F">
                        <w:rPr>
                          <w:color w:val="44546A" w:themeColor="text2"/>
                        </w:rPr>
                        <w:t>InaWP</w:t>
                      </w:r>
                      <w:proofErr w:type="spellEnd"/>
                      <w:r w:rsidRPr="0090455F">
                        <w:rPr>
                          <w:color w:val="44546A" w:themeColor="text2"/>
                        </w:rPr>
                        <w:t xml:space="preserve"> held one-to-one discussions with stakeholders, followed by two online workshops, one for national and another for basin level stakeholders.</w:t>
                      </w:r>
                    </w:p>
                    <w:p w14:paraId="2D2BCD5E" w14:textId="77777777" w:rsidR="0069679F" w:rsidRDefault="0069679F" w:rsidP="0069679F">
                      <w:pPr>
                        <w:ind w:left="720"/>
                        <w:rPr>
                          <w:b/>
                          <w:bCs/>
                          <w:color w:val="44546A" w:themeColor="text2"/>
                        </w:rPr>
                      </w:pPr>
                    </w:p>
                    <w:p w14:paraId="6CB7688B" w14:textId="7972336D" w:rsidR="0069679F" w:rsidRPr="0069679F" w:rsidRDefault="0069679F" w:rsidP="0069679F">
                      <w:pPr>
                        <w:rPr>
                          <w:b/>
                          <w:bCs/>
                          <w:color w:val="44546A" w:themeColor="text2"/>
                        </w:rPr>
                      </w:pPr>
                      <w:r w:rsidRPr="0069679F">
                        <w:rPr>
                          <w:b/>
                          <w:bCs/>
                          <w:color w:val="4EB3B9" w:themeColor="accent4"/>
                          <w:sz w:val="28"/>
                          <w:szCs w:val="28"/>
                        </w:rPr>
                        <w:t>Guatemala: online workshop approach (2 days)</w:t>
                      </w:r>
                    </w:p>
                    <w:p w14:paraId="53329BA6" w14:textId="77777777" w:rsidR="0069679F" w:rsidRPr="0090455F" w:rsidRDefault="0069679F" w:rsidP="0069679F">
                      <w:pPr>
                        <w:numPr>
                          <w:ilvl w:val="0"/>
                          <w:numId w:val="11"/>
                        </w:numPr>
                        <w:rPr>
                          <w:color w:val="44546A" w:themeColor="text2"/>
                        </w:rPr>
                      </w:pPr>
                      <w:r w:rsidRPr="0090455F">
                        <w:rPr>
                          <w:color w:val="44546A" w:themeColor="text2"/>
                        </w:rPr>
                        <w:t xml:space="preserve">the highest sectoral diversity of the four cases, involving 68 </w:t>
                      </w:r>
                      <w:proofErr w:type="gramStart"/>
                      <w:r w:rsidRPr="0090455F">
                        <w:rPr>
                          <w:color w:val="44546A" w:themeColor="text2"/>
                        </w:rPr>
                        <w:t>participants;</w:t>
                      </w:r>
                      <w:proofErr w:type="gramEnd"/>
                    </w:p>
                    <w:p w14:paraId="578A1295" w14:textId="77777777" w:rsidR="0069679F" w:rsidRPr="0090455F" w:rsidRDefault="0069679F" w:rsidP="0069679F">
                      <w:pPr>
                        <w:numPr>
                          <w:ilvl w:val="0"/>
                          <w:numId w:val="11"/>
                        </w:numPr>
                        <w:rPr>
                          <w:color w:val="44546A" w:themeColor="text2"/>
                        </w:rPr>
                      </w:pPr>
                      <w:r w:rsidRPr="0090455F">
                        <w:rPr>
                          <w:color w:val="44546A" w:themeColor="text2"/>
                        </w:rPr>
                        <w:t xml:space="preserve">participants familiarised with the survey prior to online workshop through email </w:t>
                      </w:r>
                      <w:proofErr w:type="gramStart"/>
                      <w:r w:rsidRPr="0090455F">
                        <w:rPr>
                          <w:color w:val="44546A" w:themeColor="text2"/>
                        </w:rPr>
                        <w:t>exchange;</w:t>
                      </w:r>
                      <w:proofErr w:type="gramEnd"/>
                    </w:p>
                    <w:p w14:paraId="66F7D1D1" w14:textId="77777777" w:rsidR="0069679F" w:rsidRPr="0090455F" w:rsidRDefault="0069679F" w:rsidP="0069679F">
                      <w:pPr>
                        <w:numPr>
                          <w:ilvl w:val="0"/>
                          <w:numId w:val="11"/>
                        </w:numPr>
                        <w:rPr>
                          <w:color w:val="44546A" w:themeColor="text2"/>
                        </w:rPr>
                      </w:pPr>
                      <w:r w:rsidRPr="0090455F">
                        <w:rPr>
                          <w:color w:val="44546A" w:themeColor="text2"/>
                        </w:rPr>
                        <w:t xml:space="preserve">an online workshop was held over two days, where participants first discussed the survey in detail, then completed the scores for each section in groups and validated the results on the second </w:t>
                      </w:r>
                      <w:proofErr w:type="gramStart"/>
                      <w:r w:rsidRPr="0090455F">
                        <w:rPr>
                          <w:color w:val="44546A" w:themeColor="text2"/>
                        </w:rPr>
                        <w:t>day;</w:t>
                      </w:r>
                      <w:proofErr w:type="gramEnd"/>
                    </w:p>
                    <w:p w14:paraId="4C392A26" w14:textId="77777777" w:rsidR="0069679F" w:rsidRPr="0090455F" w:rsidRDefault="0069679F" w:rsidP="0069679F">
                      <w:pPr>
                        <w:numPr>
                          <w:ilvl w:val="0"/>
                          <w:numId w:val="11"/>
                        </w:numPr>
                        <w:rPr>
                          <w:color w:val="44546A" w:themeColor="text2"/>
                        </w:rPr>
                      </w:pPr>
                      <w:r w:rsidRPr="0090455F">
                        <w:rPr>
                          <w:color w:val="44546A" w:themeColor="text2"/>
                        </w:rPr>
                        <w:t>A feedback session was organized to understand and resolve differences.</w:t>
                      </w:r>
                    </w:p>
                    <w:p w14:paraId="6403FD8E" w14:textId="77777777" w:rsidR="0090455F" w:rsidRDefault="0090455F" w:rsidP="0090455F">
                      <w:pPr>
                        <w:rPr>
                          <w:color w:val="44546A" w:themeColor="text2"/>
                        </w:rPr>
                      </w:pPr>
                    </w:p>
                    <w:p w14:paraId="2AC75F14" w14:textId="0D7195C2" w:rsidR="0090455F" w:rsidRPr="0090455F" w:rsidRDefault="0090455F" w:rsidP="0090455F">
                      <w:pPr>
                        <w:rPr>
                          <w:color w:val="44546A" w:themeColor="text2"/>
                        </w:rPr>
                      </w:pPr>
                    </w:p>
                    <w:p w14:paraId="3D973DE9" w14:textId="77777777" w:rsidR="0090455F" w:rsidRPr="0090455F" w:rsidRDefault="0090455F" w:rsidP="0090455F"/>
                  </w:txbxContent>
                </v:textbox>
                <w10:anchorlock/>
              </v:shape>
            </w:pict>
          </mc:Fallback>
        </mc:AlternateContent>
      </w:r>
    </w:p>
    <w:p w14:paraId="469A86B8" w14:textId="457A4623" w:rsidR="0090455F" w:rsidRPr="00D57092" w:rsidRDefault="0090455F" w:rsidP="00D57092">
      <w:pPr>
        <w:spacing w:after="240"/>
        <w:rPr>
          <w:color w:val="12354E" w:themeColor="accent1" w:themeShade="BF"/>
        </w:rPr>
      </w:pPr>
      <w:r>
        <w:rPr>
          <w:noProof/>
          <w:lang w:val="fr-FR"/>
        </w:rPr>
        <w:lastRenderedPageBreak/>
        <mc:AlternateContent>
          <mc:Choice Requires="wps">
            <w:drawing>
              <wp:inline distT="0" distB="0" distL="0" distR="0" wp14:anchorId="7EE184E7" wp14:editId="51A0E7DF">
                <wp:extent cx="5605272" cy="3476625"/>
                <wp:effectExtent l="0" t="0" r="0" b="9525"/>
                <wp:docPr id="7" name="Text Box 7"/>
                <wp:cNvGraphicFramePr/>
                <a:graphic xmlns:a="http://schemas.openxmlformats.org/drawingml/2006/main">
                  <a:graphicData uri="http://schemas.microsoft.com/office/word/2010/wordprocessingShape">
                    <wps:wsp>
                      <wps:cNvSpPr txBox="1"/>
                      <wps:spPr>
                        <a:xfrm>
                          <a:off x="0" y="0"/>
                          <a:ext cx="5605272" cy="3476625"/>
                        </a:xfrm>
                        <a:prstGeom prst="rect">
                          <a:avLst/>
                        </a:prstGeom>
                        <a:solidFill>
                          <a:schemeClr val="accent4">
                            <a:lumMod val="20000"/>
                            <a:lumOff val="80000"/>
                          </a:schemeClr>
                        </a:solidFill>
                        <a:ln w="6350">
                          <a:noFill/>
                        </a:ln>
                      </wps:spPr>
                      <wps:txbx>
                        <w:txbxContent>
                          <w:p w14:paraId="4C4A3FB3" w14:textId="77777777" w:rsidR="002179BE" w:rsidRPr="0090455F" w:rsidRDefault="002179BE" w:rsidP="002179BE">
                            <w:pPr>
                              <w:rPr>
                                <w:b/>
                                <w:bCs/>
                                <w:color w:val="4EB3B9" w:themeColor="accent4"/>
                                <w:sz w:val="28"/>
                                <w:szCs w:val="28"/>
                              </w:rPr>
                            </w:pPr>
                            <w:r w:rsidRPr="0090455F">
                              <w:rPr>
                                <w:b/>
                                <w:bCs/>
                                <w:color w:val="4EB3B9" w:themeColor="accent4"/>
                                <w:sz w:val="28"/>
                                <w:szCs w:val="28"/>
                              </w:rPr>
                              <w:t>Zambia: in-person workshop approach (2 days)</w:t>
                            </w:r>
                          </w:p>
                          <w:p w14:paraId="577A9E8D" w14:textId="77777777" w:rsidR="002179BE" w:rsidRPr="0090455F" w:rsidRDefault="002179BE" w:rsidP="002179BE">
                            <w:pPr>
                              <w:numPr>
                                <w:ilvl w:val="0"/>
                                <w:numId w:val="11"/>
                              </w:numPr>
                              <w:rPr>
                                <w:color w:val="44546A" w:themeColor="text2"/>
                              </w:rPr>
                            </w:pPr>
                            <w:r w:rsidRPr="0090455F">
                              <w:rPr>
                                <w:color w:val="44546A" w:themeColor="text2"/>
                              </w:rPr>
                              <w:t xml:space="preserve">lower stakeholder inclusion, involving 35 participants, due to COVID-19 </w:t>
                            </w:r>
                            <w:proofErr w:type="gramStart"/>
                            <w:r w:rsidRPr="0090455F">
                              <w:rPr>
                                <w:color w:val="44546A" w:themeColor="text2"/>
                              </w:rPr>
                              <w:t>restrictions;</w:t>
                            </w:r>
                            <w:proofErr w:type="gramEnd"/>
                          </w:p>
                          <w:p w14:paraId="16216FFA" w14:textId="77777777" w:rsidR="002179BE" w:rsidRPr="0090455F" w:rsidRDefault="002179BE" w:rsidP="002179BE">
                            <w:pPr>
                              <w:numPr>
                                <w:ilvl w:val="0"/>
                                <w:numId w:val="11"/>
                              </w:numPr>
                              <w:rPr>
                                <w:color w:val="44546A" w:themeColor="text2"/>
                              </w:rPr>
                            </w:pPr>
                            <w:r w:rsidRPr="0090455F">
                              <w:rPr>
                                <w:color w:val="44546A" w:themeColor="text2"/>
                              </w:rPr>
                              <w:t xml:space="preserve">discussions were organized in small groups, discussing all sections at once, then reaching consensus on scores following each group’s </w:t>
                            </w:r>
                            <w:proofErr w:type="gramStart"/>
                            <w:r w:rsidRPr="0090455F">
                              <w:rPr>
                                <w:color w:val="44546A" w:themeColor="text2"/>
                              </w:rPr>
                              <w:t>presentation;</w:t>
                            </w:r>
                            <w:proofErr w:type="gramEnd"/>
                          </w:p>
                          <w:p w14:paraId="1BD17AC0" w14:textId="77777777" w:rsidR="002179BE" w:rsidRPr="0090455F" w:rsidRDefault="002179BE" w:rsidP="002179BE">
                            <w:pPr>
                              <w:numPr>
                                <w:ilvl w:val="0"/>
                                <w:numId w:val="11"/>
                              </w:numPr>
                              <w:rPr>
                                <w:color w:val="44546A" w:themeColor="text2"/>
                              </w:rPr>
                            </w:pPr>
                            <w:r w:rsidRPr="0090455F">
                              <w:rPr>
                                <w:color w:val="44546A" w:themeColor="text2"/>
                              </w:rPr>
                              <w:t xml:space="preserve">annexes were discussed during the feedback </w:t>
                            </w:r>
                            <w:proofErr w:type="gramStart"/>
                            <w:r w:rsidRPr="0090455F">
                              <w:rPr>
                                <w:color w:val="44546A" w:themeColor="text2"/>
                              </w:rPr>
                              <w:t>session;</w:t>
                            </w:r>
                            <w:proofErr w:type="gramEnd"/>
                          </w:p>
                          <w:p w14:paraId="4E5EE2AE" w14:textId="77777777" w:rsidR="002179BE" w:rsidRPr="0090455F" w:rsidRDefault="002179BE" w:rsidP="002179BE">
                            <w:pPr>
                              <w:numPr>
                                <w:ilvl w:val="0"/>
                                <w:numId w:val="11"/>
                              </w:numPr>
                              <w:rPr>
                                <w:color w:val="44546A" w:themeColor="text2"/>
                              </w:rPr>
                            </w:pPr>
                            <w:r w:rsidRPr="0090455F">
                              <w:rPr>
                                <w:color w:val="44546A" w:themeColor="text2"/>
                              </w:rPr>
                              <w:t>participants who couldn’t attend the in-person workshop emailed their input to the focal point.</w:t>
                            </w:r>
                          </w:p>
                          <w:p w14:paraId="60057444" w14:textId="77777777" w:rsidR="002179BE" w:rsidRDefault="002179BE" w:rsidP="0090455F">
                            <w:pPr>
                              <w:rPr>
                                <w:b/>
                                <w:bCs/>
                                <w:color w:val="4EB3B9" w:themeColor="accent4"/>
                                <w:sz w:val="28"/>
                                <w:szCs w:val="28"/>
                              </w:rPr>
                            </w:pPr>
                          </w:p>
                          <w:p w14:paraId="6A2ACF77" w14:textId="1D68FED8" w:rsidR="0090455F" w:rsidRPr="0090455F" w:rsidRDefault="0090455F" w:rsidP="0090455F">
                            <w:pPr>
                              <w:rPr>
                                <w:b/>
                                <w:bCs/>
                                <w:color w:val="4EB3B9" w:themeColor="accent4"/>
                                <w:sz w:val="28"/>
                                <w:szCs w:val="28"/>
                              </w:rPr>
                            </w:pPr>
                            <w:r w:rsidRPr="0090455F">
                              <w:rPr>
                                <w:b/>
                                <w:bCs/>
                                <w:color w:val="4EB3B9" w:themeColor="accent4"/>
                                <w:sz w:val="28"/>
                                <w:szCs w:val="28"/>
                              </w:rPr>
                              <w:t>Georgia: blended workshop approach (a one-day in-person workshop format combined with online prior input from participants)</w:t>
                            </w:r>
                          </w:p>
                          <w:p w14:paraId="0765F7BB" w14:textId="77777777" w:rsidR="0090455F" w:rsidRPr="0090455F" w:rsidRDefault="0090455F" w:rsidP="0090455F">
                            <w:pPr>
                              <w:numPr>
                                <w:ilvl w:val="0"/>
                                <w:numId w:val="11"/>
                              </w:numPr>
                              <w:rPr>
                                <w:color w:val="44546A" w:themeColor="text2"/>
                              </w:rPr>
                            </w:pPr>
                            <w:r w:rsidRPr="0090455F">
                              <w:rPr>
                                <w:color w:val="44546A" w:themeColor="text2"/>
                              </w:rPr>
                              <w:t>lower stakeholder inclusion for the workshop (26 participants</w:t>
                            </w:r>
                            <w:proofErr w:type="gramStart"/>
                            <w:r w:rsidRPr="0090455F">
                              <w:rPr>
                                <w:color w:val="44546A" w:themeColor="text2"/>
                              </w:rPr>
                              <w:t>);</w:t>
                            </w:r>
                            <w:proofErr w:type="gramEnd"/>
                          </w:p>
                          <w:p w14:paraId="6DDD644C" w14:textId="77777777" w:rsidR="0090455F" w:rsidRPr="0090455F" w:rsidRDefault="0090455F" w:rsidP="0090455F">
                            <w:pPr>
                              <w:numPr>
                                <w:ilvl w:val="0"/>
                                <w:numId w:val="11"/>
                              </w:numPr>
                              <w:rPr>
                                <w:color w:val="44546A" w:themeColor="text2"/>
                              </w:rPr>
                            </w:pPr>
                            <w:r w:rsidRPr="0090455F">
                              <w:rPr>
                                <w:color w:val="44546A" w:themeColor="text2"/>
                              </w:rPr>
                              <w:t xml:space="preserve">draft survey circulated by the Focal Point prior to the workshop, as well as all relevant background </w:t>
                            </w:r>
                            <w:proofErr w:type="gramStart"/>
                            <w:r w:rsidRPr="0090455F">
                              <w:rPr>
                                <w:color w:val="44546A" w:themeColor="text2"/>
                              </w:rPr>
                              <w:t>information;</w:t>
                            </w:r>
                            <w:proofErr w:type="gramEnd"/>
                          </w:p>
                          <w:p w14:paraId="51F744FB" w14:textId="4D9E902E" w:rsidR="0090455F" w:rsidRPr="0090455F" w:rsidRDefault="0090455F" w:rsidP="0090455F">
                            <w:pPr>
                              <w:numPr>
                                <w:ilvl w:val="0"/>
                                <w:numId w:val="11"/>
                              </w:numPr>
                              <w:rPr>
                                <w:color w:val="44546A" w:themeColor="text2"/>
                              </w:rPr>
                            </w:pPr>
                            <w:r w:rsidRPr="0090455F">
                              <w:rPr>
                                <w:color w:val="44546A" w:themeColor="text2"/>
                              </w:rPr>
                              <w:t>agenda had a specific time slot for collectively agreeing scores, so decisions for the final score were made collectively by consensus.</w:t>
                            </w:r>
                          </w:p>
                          <w:p w14:paraId="1DA4D319" w14:textId="77777777" w:rsidR="0090455F" w:rsidRPr="0090455F" w:rsidRDefault="0090455F" w:rsidP="0090455F"/>
                        </w:txbxContent>
                      </wps:txbx>
                      <wps:bodyPr rot="0" spcFirstLastPara="0" vertOverflow="overflow" horzOverflow="overflow" vert="horz" wrap="square" lIns="144000" tIns="108000" rIns="144000" bIns="144000" numCol="1" spcCol="0" rtlCol="0" fromWordArt="0" anchor="ctr" anchorCtr="0" forceAA="0" compatLnSpc="1">
                        <a:prstTxWarp prst="textNoShape">
                          <a:avLst/>
                        </a:prstTxWarp>
                        <a:noAutofit/>
                      </wps:bodyPr>
                    </wps:wsp>
                  </a:graphicData>
                </a:graphic>
              </wp:inline>
            </w:drawing>
          </mc:Choice>
          <mc:Fallback>
            <w:pict>
              <v:shape w14:anchorId="7EE184E7" id="Text Box 7" o:spid="_x0000_s1027" type="#_x0000_t202" style="width:441.35pt;height:273.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" fillcolor="#dbeff1 [663]" stroked="f" strokeweight=".5pt">
                <v:textbox inset="4mm,3mm,4mm,4mm">
                  <w:txbxContent>
                    <w:p w14:paraId="4C4A3FB3" w14:textId="77777777" w:rsidR="002179BE" w:rsidRPr="0090455F" w:rsidRDefault="002179BE" w:rsidP="002179BE">
                      <w:pPr>
                        <w:rPr>
                          <w:b/>
                          <w:bCs/>
                          <w:color w:val="4EB3B9" w:themeColor="accent4"/>
                          <w:sz w:val="28"/>
                          <w:szCs w:val="28"/>
                        </w:rPr>
                      </w:pPr>
                      <w:r w:rsidRPr="0090455F">
                        <w:rPr>
                          <w:b/>
                          <w:bCs/>
                          <w:color w:val="4EB3B9" w:themeColor="accent4"/>
                          <w:sz w:val="28"/>
                          <w:szCs w:val="28"/>
                        </w:rPr>
                        <w:t>Zambia: in-person workshop approach (2 days)</w:t>
                      </w:r>
                    </w:p>
                    <w:p w14:paraId="577A9E8D" w14:textId="77777777" w:rsidR="002179BE" w:rsidRPr="0090455F" w:rsidRDefault="002179BE" w:rsidP="002179BE">
                      <w:pPr>
                        <w:numPr>
                          <w:ilvl w:val="0"/>
                          <w:numId w:val="11"/>
                        </w:numPr>
                        <w:rPr>
                          <w:color w:val="44546A" w:themeColor="text2"/>
                        </w:rPr>
                      </w:pPr>
                      <w:r w:rsidRPr="0090455F">
                        <w:rPr>
                          <w:color w:val="44546A" w:themeColor="text2"/>
                        </w:rPr>
                        <w:t xml:space="preserve">lower stakeholder inclusion, involving 35 participants, due to COVID-19 </w:t>
                      </w:r>
                      <w:proofErr w:type="gramStart"/>
                      <w:r w:rsidRPr="0090455F">
                        <w:rPr>
                          <w:color w:val="44546A" w:themeColor="text2"/>
                        </w:rPr>
                        <w:t>restrictions;</w:t>
                      </w:r>
                      <w:proofErr w:type="gramEnd"/>
                    </w:p>
                    <w:p w14:paraId="16216FFA" w14:textId="77777777" w:rsidR="002179BE" w:rsidRPr="0090455F" w:rsidRDefault="002179BE" w:rsidP="002179BE">
                      <w:pPr>
                        <w:numPr>
                          <w:ilvl w:val="0"/>
                          <w:numId w:val="11"/>
                        </w:numPr>
                        <w:rPr>
                          <w:color w:val="44546A" w:themeColor="text2"/>
                        </w:rPr>
                      </w:pPr>
                      <w:r w:rsidRPr="0090455F">
                        <w:rPr>
                          <w:color w:val="44546A" w:themeColor="text2"/>
                        </w:rPr>
                        <w:t xml:space="preserve">discussions were organized in small groups, discussing all sections at once, then reaching consensus on scores following each group’s </w:t>
                      </w:r>
                      <w:proofErr w:type="gramStart"/>
                      <w:r w:rsidRPr="0090455F">
                        <w:rPr>
                          <w:color w:val="44546A" w:themeColor="text2"/>
                        </w:rPr>
                        <w:t>presentation;</w:t>
                      </w:r>
                      <w:proofErr w:type="gramEnd"/>
                    </w:p>
                    <w:p w14:paraId="1BD17AC0" w14:textId="77777777" w:rsidR="002179BE" w:rsidRPr="0090455F" w:rsidRDefault="002179BE" w:rsidP="002179BE">
                      <w:pPr>
                        <w:numPr>
                          <w:ilvl w:val="0"/>
                          <w:numId w:val="11"/>
                        </w:numPr>
                        <w:rPr>
                          <w:color w:val="44546A" w:themeColor="text2"/>
                        </w:rPr>
                      </w:pPr>
                      <w:r w:rsidRPr="0090455F">
                        <w:rPr>
                          <w:color w:val="44546A" w:themeColor="text2"/>
                        </w:rPr>
                        <w:t xml:space="preserve">annexes were discussed during the feedback </w:t>
                      </w:r>
                      <w:proofErr w:type="gramStart"/>
                      <w:r w:rsidRPr="0090455F">
                        <w:rPr>
                          <w:color w:val="44546A" w:themeColor="text2"/>
                        </w:rPr>
                        <w:t>session;</w:t>
                      </w:r>
                      <w:proofErr w:type="gramEnd"/>
                    </w:p>
                    <w:p w14:paraId="4E5EE2AE" w14:textId="77777777" w:rsidR="002179BE" w:rsidRPr="0090455F" w:rsidRDefault="002179BE" w:rsidP="002179BE">
                      <w:pPr>
                        <w:numPr>
                          <w:ilvl w:val="0"/>
                          <w:numId w:val="11"/>
                        </w:numPr>
                        <w:rPr>
                          <w:color w:val="44546A" w:themeColor="text2"/>
                        </w:rPr>
                      </w:pPr>
                      <w:r w:rsidRPr="0090455F">
                        <w:rPr>
                          <w:color w:val="44546A" w:themeColor="text2"/>
                        </w:rPr>
                        <w:t>participants who couldn’t attend the in-person workshop emailed their input to the focal point.</w:t>
                      </w:r>
                    </w:p>
                    <w:p w14:paraId="60057444" w14:textId="77777777" w:rsidR="002179BE" w:rsidRDefault="002179BE" w:rsidP="0090455F">
                      <w:pPr>
                        <w:rPr>
                          <w:b/>
                          <w:bCs/>
                          <w:color w:val="4EB3B9" w:themeColor="accent4"/>
                          <w:sz w:val="28"/>
                          <w:szCs w:val="28"/>
                        </w:rPr>
                      </w:pPr>
                    </w:p>
                    <w:p w14:paraId="6A2ACF77" w14:textId="1D68FED8" w:rsidR="0090455F" w:rsidRPr="0090455F" w:rsidRDefault="0090455F" w:rsidP="0090455F">
                      <w:pPr>
                        <w:rPr>
                          <w:b/>
                          <w:bCs/>
                          <w:color w:val="4EB3B9" w:themeColor="accent4"/>
                          <w:sz w:val="28"/>
                          <w:szCs w:val="28"/>
                        </w:rPr>
                      </w:pPr>
                      <w:r w:rsidRPr="0090455F">
                        <w:rPr>
                          <w:b/>
                          <w:bCs/>
                          <w:color w:val="4EB3B9" w:themeColor="accent4"/>
                          <w:sz w:val="28"/>
                          <w:szCs w:val="28"/>
                        </w:rPr>
                        <w:t>Georgia: blended workshop approach (a one-day in-person workshop format combined with online prior input from participants)</w:t>
                      </w:r>
                    </w:p>
                    <w:p w14:paraId="0765F7BB" w14:textId="77777777" w:rsidR="0090455F" w:rsidRPr="0090455F" w:rsidRDefault="0090455F" w:rsidP="0090455F">
                      <w:pPr>
                        <w:numPr>
                          <w:ilvl w:val="0"/>
                          <w:numId w:val="11"/>
                        </w:numPr>
                        <w:rPr>
                          <w:color w:val="44546A" w:themeColor="text2"/>
                        </w:rPr>
                      </w:pPr>
                      <w:r w:rsidRPr="0090455F">
                        <w:rPr>
                          <w:color w:val="44546A" w:themeColor="text2"/>
                        </w:rPr>
                        <w:t>lower stakeholder inclusion for the workshop (26 participants</w:t>
                      </w:r>
                      <w:proofErr w:type="gramStart"/>
                      <w:r w:rsidRPr="0090455F">
                        <w:rPr>
                          <w:color w:val="44546A" w:themeColor="text2"/>
                        </w:rPr>
                        <w:t>);</w:t>
                      </w:r>
                      <w:proofErr w:type="gramEnd"/>
                    </w:p>
                    <w:p w14:paraId="6DDD644C" w14:textId="77777777" w:rsidR="0090455F" w:rsidRPr="0090455F" w:rsidRDefault="0090455F" w:rsidP="0090455F">
                      <w:pPr>
                        <w:numPr>
                          <w:ilvl w:val="0"/>
                          <w:numId w:val="11"/>
                        </w:numPr>
                        <w:rPr>
                          <w:color w:val="44546A" w:themeColor="text2"/>
                        </w:rPr>
                      </w:pPr>
                      <w:r w:rsidRPr="0090455F">
                        <w:rPr>
                          <w:color w:val="44546A" w:themeColor="text2"/>
                        </w:rPr>
                        <w:t xml:space="preserve">draft survey circulated by the Focal Point prior to the workshop, as well as all relevant background </w:t>
                      </w:r>
                      <w:proofErr w:type="gramStart"/>
                      <w:r w:rsidRPr="0090455F">
                        <w:rPr>
                          <w:color w:val="44546A" w:themeColor="text2"/>
                        </w:rPr>
                        <w:t>information;</w:t>
                      </w:r>
                      <w:proofErr w:type="gramEnd"/>
                    </w:p>
                    <w:p w14:paraId="51F744FB" w14:textId="4D9E902E" w:rsidR="0090455F" w:rsidRPr="0090455F" w:rsidRDefault="0090455F" w:rsidP="0090455F">
                      <w:pPr>
                        <w:numPr>
                          <w:ilvl w:val="0"/>
                          <w:numId w:val="11"/>
                        </w:numPr>
                        <w:rPr>
                          <w:color w:val="44546A" w:themeColor="text2"/>
                        </w:rPr>
                      </w:pPr>
                      <w:r w:rsidRPr="0090455F">
                        <w:rPr>
                          <w:color w:val="44546A" w:themeColor="text2"/>
                        </w:rPr>
                        <w:t>agenda had a specific time slot for collectively agreeing scores, so decisions for the final score were made collectively by consensus.</w:t>
                      </w:r>
                    </w:p>
                    <w:p w14:paraId="1DA4D319" w14:textId="77777777" w:rsidR="0090455F" w:rsidRPr="0090455F" w:rsidRDefault="0090455F" w:rsidP="0090455F"/>
                  </w:txbxContent>
                </v:textbox>
                <w10:anchorlock/>
              </v:shape>
            </w:pict>
          </mc:Fallback>
        </mc:AlternateContent>
      </w:r>
    </w:p>
    <w:p w14:paraId="0325AC19" w14:textId="6754F003" w:rsidR="00D57092" w:rsidRDefault="00D57092" w:rsidP="00D57092">
      <w:pPr>
        <w:spacing w:before="120"/>
        <w:rPr>
          <w:rFonts w:eastAsiaTheme="minorEastAsia"/>
          <w:i/>
          <w:iCs/>
          <w:color w:val="12354E" w:themeColor="accent1" w:themeShade="BF"/>
          <w:sz w:val="20"/>
          <w:szCs w:val="20"/>
        </w:rPr>
      </w:pPr>
      <w:r w:rsidRPr="00D57092">
        <w:rPr>
          <w:rFonts w:eastAsiaTheme="minorEastAsia"/>
          <w:i/>
          <w:iCs/>
          <w:color w:val="12354E" w:themeColor="accent1" w:themeShade="BF"/>
          <w:sz w:val="20"/>
          <w:szCs w:val="20"/>
        </w:rPr>
        <w:t>Box 1: Country examples of stakeholder consultations in 2020</w:t>
      </w:r>
      <w:r w:rsidRPr="00D57092">
        <w:rPr>
          <w:rStyle w:val="FootnoteReference"/>
          <w:i/>
          <w:iCs/>
          <w:color w:val="12354E" w:themeColor="accent1" w:themeShade="BF"/>
        </w:rPr>
        <w:footnoteReference w:id="6"/>
      </w:r>
    </w:p>
    <w:p w14:paraId="40889DF9" w14:textId="77777777" w:rsidR="0069679F" w:rsidRPr="00D57092" w:rsidRDefault="0069679F" w:rsidP="00D57092">
      <w:pPr>
        <w:spacing w:before="120"/>
        <w:rPr>
          <w:rFonts w:eastAsiaTheme="minorEastAsia"/>
          <w:i/>
          <w:iCs/>
          <w:color w:val="12354E" w:themeColor="accent1" w:themeShade="BF"/>
          <w:sz w:val="20"/>
          <w:szCs w:val="20"/>
        </w:rPr>
      </w:pPr>
    </w:p>
    <w:p w14:paraId="7D392C9F" w14:textId="76669C47" w:rsidR="008E2EB5" w:rsidRPr="008E2EB5" w:rsidRDefault="00D57092" w:rsidP="00FA42CA">
      <w:pPr>
        <w:pStyle w:val="Body"/>
        <w:numPr>
          <w:ilvl w:val="1"/>
          <w:numId w:val="3"/>
        </w:numPr>
        <w:jc w:val="both"/>
        <w:rPr>
          <w:b/>
          <w:bCs/>
          <w:color w:val="20A6CA" w:themeColor="accent2"/>
          <w:sz w:val="36"/>
          <w:szCs w:val="36"/>
        </w:rPr>
      </w:pPr>
      <w:proofErr w:type="spellStart"/>
      <w:r>
        <w:rPr>
          <w:b/>
          <w:bCs/>
          <w:color w:val="20A6CA" w:themeColor="accent2"/>
          <w:sz w:val="36"/>
          <w:szCs w:val="36"/>
        </w:rPr>
        <w:t>Submission</w:t>
      </w:r>
      <w:proofErr w:type="spellEnd"/>
    </w:p>
    <w:p w14:paraId="04873463" w14:textId="714CB43A" w:rsidR="00D57092" w:rsidRPr="002B1B0C" w:rsidRDefault="00D57092" w:rsidP="00D57092">
      <w:pPr>
        <w:pStyle w:val="Body"/>
        <w:jc w:val="both"/>
        <w:rPr>
          <w:lang w:val="en-GB" w:eastAsia="en-GB"/>
        </w:rPr>
      </w:pPr>
      <w:r w:rsidRPr="00EB3205">
        <w:rPr>
          <w:lang w:val="en-GB" w:eastAsia="en-GB"/>
        </w:rPr>
        <w:t xml:space="preserve">The </w:t>
      </w:r>
      <w:r w:rsidRPr="002B1B0C">
        <w:rPr>
          <w:lang w:val="en-GB" w:eastAsia="en-GB"/>
        </w:rPr>
        <w:t xml:space="preserve">SDG 6.5.1 Focal Point is responsible for the submission of the survey. Details on the submission process can be found in section 6 of the </w:t>
      </w:r>
      <w:hyperlink r:id="rId53" w:history="1">
        <w:r w:rsidRPr="002B1B0C">
          <w:rPr>
            <w:rStyle w:val="Hyperlink"/>
            <w:lang w:val="en-GB" w:eastAsia="en-GB"/>
          </w:rPr>
          <w:t>SDG Indicator 6.5.1 Monitoring Guide</w:t>
        </w:r>
      </w:hyperlink>
      <w:r w:rsidRPr="002B1B0C">
        <w:rPr>
          <w:lang w:val="en-GB" w:eastAsia="en-GB"/>
        </w:rPr>
        <w:t xml:space="preserve">. </w:t>
      </w:r>
    </w:p>
    <w:p w14:paraId="7A9E4246" w14:textId="42DC1224" w:rsidR="008E2EB5" w:rsidRPr="002B1B0C" w:rsidRDefault="00D57092" w:rsidP="00D57092">
      <w:pPr>
        <w:pStyle w:val="Body"/>
        <w:jc w:val="both"/>
        <w:rPr>
          <w:color w:val="EC531E" w:themeColor="accent6" w:themeShade="BF"/>
          <w:lang w:val="en-GB"/>
        </w:rPr>
      </w:pPr>
      <w:r w:rsidRPr="002B1B0C">
        <w:rPr>
          <w:color w:val="EC531E" w:themeColor="accent6" w:themeShade="BF"/>
          <w:lang w:val="en-GB" w:eastAsia="en-GB"/>
        </w:rPr>
        <w:t xml:space="preserve">For countries directly supported under the SDG 6 IWRM Support Programme, a Stakeholder Consultation Report should also be submitted by the facilitator to </w:t>
      </w:r>
      <w:hyperlink r:id="rId54" w:history="1">
        <w:r w:rsidRPr="002B1B0C">
          <w:rPr>
            <w:rStyle w:val="Hyperlink"/>
            <w:rFonts w:ascii="Calibri" w:hAnsi="Calibri" w:cs="Calibri"/>
            <w:lang w:val="en-GB"/>
          </w:rPr>
          <w:t>sdg6iwrmsp@gwp.org</w:t>
        </w:r>
      </w:hyperlink>
      <w:r w:rsidRPr="002B1B0C">
        <w:rPr>
          <w:rStyle w:val="Hyperlink"/>
          <w:rFonts w:ascii="Calibri" w:eastAsia="Calibri" w:hAnsi="Calibri" w:cs="Calibri"/>
          <w:color w:val="EC531E" w:themeColor="accent6" w:themeShade="BF"/>
          <w:lang w:val="en-GB"/>
        </w:rPr>
        <w:t xml:space="preserve"> (</w:t>
      </w:r>
      <w:r w:rsidRPr="002B1B0C">
        <w:rPr>
          <w:color w:val="EC531E" w:themeColor="accent6" w:themeShade="BF"/>
          <w:lang w:val="en-GB" w:eastAsia="en-GB"/>
        </w:rPr>
        <w:t xml:space="preserve">see </w:t>
      </w:r>
      <w:hyperlink r:id="rId55" w:history="1">
        <w:r w:rsidRPr="002B1B0C">
          <w:rPr>
            <w:rStyle w:val="Hyperlink"/>
            <w:i/>
            <w:iCs/>
            <w:lang w:val="en-GB" w:eastAsia="en-GB"/>
          </w:rPr>
          <w:t>Annex 3</w:t>
        </w:r>
      </w:hyperlink>
      <w:r w:rsidRPr="002B1B0C">
        <w:rPr>
          <w:color w:val="EC531E" w:themeColor="accent6" w:themeShade="BF"/>
          <w:lang w:val="en-GB" w:eastAsia="en-GB"/>
        </w:rPr>
        <w:t>)</w:t>
      </w:r>
      <w:r w:rsidR="008E2EB5" w:rsidRPr="002B1B0C">
        <w:rPr>
          <w:color w:val="EC531E" w:themeColor="accent6" w:themeShade="BF"/>
          <w:lang w:val="en-GB"/>
        </w:rPr>
        <w:t>. </w:t>
      </w:r>
    </w:p>
    <w:p w14:paraId="38378097" w14:textId="23B8D556" w:rsidR="00D57092" w:rsidRPr="002B1B0C" w:rsidRDefault="00D57092" w:rsidP="00FA42CA">
      <w:pPr>
        <w:pStyle w:val="Body"/>
        <w:numPr>
          <w:ilvl w:val="1"/>
          <w:numId w:val="3"/>
        </w:numPr>
        <w:jc w:val="both"/>
        <w:rPr>
          <w:b/>
          <w:bCs/>
          <w:color w:val="20A6CA" w:themeColor="accent2"/>
          <w:sz w:val="36"/>
          <w:szCs w:val="36"/>
        </w:rPr>
      </w:pPr>
      <w:r w:rsidRPr="002B1B0C">
        <w:rPr>
          <w:b/>
          <w:bCs/>
          <w:color w:val="20A6CA" w:themeColor="accent2"/>
          <w:sz w:val="36"/>
          <w:szCs w:val="36"/>
        </w:rPr>
        <w:t>Follow-up</w:t>
      </w:r>
    </w:p>
    <w:p w14:paraId="5945A44F" w14:textId="0242636D" w:rsidR="00D57092" w:rsidRDefault="00D57092" w:rsidP="00D57092">
      <w:pPr>
        <w:pStyle w:val="Body"/>
        <w:jc w:val="both"/>
        <w:rPr>
          <w:lang w:val="en-GB"/>
        </w:rPr>
      </w:pPr>
      <w:r w:rsidRPr="002B1B0C">
        <w:rPr>
          <w:rFonts w:ascii="Calibri" w:hAnsi="Calibri" w:cs="Calibri"/>
          <w:lang w:val="en-GB"/>
        </w:rPr>
        <w:t>The SDG 6.5.1 Focal Point and other relevant stakeholders may use the process and its results to identify opportunities to advance on IWRM as suggested in section 7 of the</w:t>
      </w:r>
      <w:r w:rsidRPr="002B1B0C">
        <w:rPr>
          <w:rFonts w:ascii="Calibri" w:hAnsi="Calibri" w:cs="Calibri"/>
          <w:i/>
          <w:iCs/>
          <w:lang w:val="en-GB"/>
        </w:rPr>
        <w:t xml:space="preserve"> </w:t>
      </w:r>
      <w:hyperlink r:id="rId56" w:history="1">
        <w:r w:rsidRPr="002B1B0C">
          <w:rPr>
            <w:rStyle w:val="Hyperlink"/>
            <w:rFonts w:ascii="Calibri" w:eastAsia="Times New Roman" w:hAnsi="Calibri" w:cs="Calibri"/>
            <w:lang w:val="en-GB" w:eastAsia="en-GB"/>
          </w:rPr>
          <w:t>SDG Indicator 6.5.1 Monitoring Guide</w:t>
        </w:r>
      </w:hyperlink>
      <w:r w:rsidRPr="002B1B0C">
        <w:rPr>
          <w:lang w:val="en-GB"/>
        </w:rPr>
        <w:t>.</w:t>
      </w:r>
      <w:r w:rsidRPr="00D57092">
        <w:rPr>
          <w:lang w:val="en-GB"/>
        </w:rPr>
        <w:t> </w:t>
      </w:r>
    </w:p>
    <w:p w14:paraId="62D07762" w14:textId="7280E555" w:rsidR="002179BE" w:rsidRDefault="002179BE" w:rsidP="00D57092">
      <w:pPr>
        <w:pStyle w:val="Body"/>
        <w:jc w:val="both"/>
        <w:rPr>
          <w:lang w:val="en-GB"/>
        </w:rPr>
      </w:pPr>
    </w:p>
    <w:p w14:paraId="55EADBF3" w14:textId="2E04CCAD" w:rsidR="002179BE" w:rsidRDefault="002179BE" w:rsidP="00D57092">
      <w:pPr>
        <w:pStyle w:val="Body"/>
        <w:jc w:val="both"/>
        <w:rPr>
          <w:lang w:val="en-GB"/>
        </w:rPr>
      </w:pPr>
    </w:p>
    <w:p w14:paraId="092CC2B2" w14:textId="77777777" w:rsidR="002179BE" w:rsidRPr="00D57092" w:rsidRDefault="002179BE" w:rsidP="00D57092">
      <w:pPr>
        <w:pStyle w:val="Body"/>
        <w:jc w:val="both"/>
        <w:rPr>
          <w:lang w:val="en-GB"/>
        </w:rPr>
      </w:pPr>
    </w:p>
    <w:p w14:paraId="76E7199B" w14:textId="77777777" w:rsidR="0069679F" w:rsidRDefault="0069679F" w:rsidP="0069679F">
      <w:pPr>
        <w:pStyle w:val="Heading1"/>
      </w:pPr>
      <w:r>
        <w:lastRenderedPageBreak/>
        <w:t>ANNEXES</w:t>
      </w:r>
    </w:p>
    <w:p w14:paraId="1ACE58E1" w14:textId="77777777" w:rsidR="0069679F" w:rsidRPr="00FF6DD6" w:rsidRDefault="0069679F" w:rsidP="0069679F">
      <w:pPr>
        <w:pStyle w:val="Body"/>
        <w:rPr>
          <w:lang w:val="en-US"/>
        </w:rPr>
      </w:pPr>
      <w:r w:rsidRPr="00FF6DD6">
        <w:rPr>
          <w:lang w:val="en-US"/>
        </w:rPr>
        <w:t>The following annexes are available for further use:</w:t>
      </w:r>
    </w:p>
    <w:tbl>
      <w:tblPr>
        <w:tblStyle w:val="GridTable1Light-Accent5"/>
        <w:tblW w:w="9345"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345"/>
      </w:tblGrid>
      <w:tr w:rsidR="0069679F" w:rsidRPr="00FF6DD6" w14:paraId="6CA3660F" w14:textId="77777777" w:rsidTr="0069679F">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tcBorders>
              <w:bottom w:val="none" w:sz="0" w:space="0" w:color="auto"/>
            </w:tcBorders>
            <w:hideMark/>
          </w:tcPr>
          <w:p w14:paraId="79347618" w14:textId="2E35383D" w:rsidR="0069679F" w:rsidRPr="002B1B0C" w:rsidRDefault="003C7923" w:rsidP="00C33D9B">
            <w:pPr>
              <w:pStyle w:val="Body"/>
              <w:rPr>
                <w:u w:val="single"/>
                <w:lang w:val="en-GB"/>
              </w:rPr>
            </w:pPr>
            <w:hyperlink r:id="rId57" w:history="1">
              <w:r w:rsidR="0069679F" w:rsidRPr="002B1B0C">
                <w:rPr>
                  <w:rStyle w:val="Hyperlink"/>
                  <w:b w:val="0"/>
                  <w:bCs w:val="0"/>
                  <w:lang w:val="en-GB"/>
                </w:rPr>
                <w:t>Annex 1: Online IWRM Survey Tool</w:t>
              </w:r>
            </w:hyperlink>
          </w:p>
        </w:tc>
      </w:tr>
      <w:tr w:rsidR="0069679F" w:rsidRPr="00FF6DD6" w14:paraId="3B2FD697" w14:textId="77777777" w:rsidTr="00C33D9B">
        <w:trPr>
          <w:trHeight w:val="300"/>
        </w:trPr>
        <w:tc>
          <w:tcPr>
            <w:cnfStyle w:val="001000000000" w:firstRow="0" w:lastRow="0" w:firstColumn="1" w:lastColumn="0" w:oddVBand="0" w:evenVBand="0" w:oddHBand="0" w:evenHBand="0" w:firstRowFirstColumn="0" w:firstRowLastColumn="0" w:lastRowFirstColumn="0" w:lastRowLastColumn="0"/>
            <w:tcW w:w="9351" w:type="dxa"/>
            <w:hideMark/>
          </w:tcPr>
          <w:p w14:paraId="538F4AA7" w14:textId="07DF9BE3" w:rsidR="0069679F" w:rsidRPr="002B1B0C" w:rsidRDefault="003C7923" w:rsidP="00C33D9B">
            <w:pPr>
              <w:pStyle w:val="Body"/>
              <w:rPr>
                <w:u w:val="single"/>
                <w:lang w:val="en-GB"/>
              </w:rPr>
            </w:pPr>
            <w:hyperlink r:id="rId58" w:history="1">
              <w:r w:rsidR="0069679F" w:rsidRPr="002B1B0C">
                <w:rPr>
                  <w:rStyle w:val="Hyperlink"/>
                  <w:b w:val="0"/>
                  <w:bCs w:val="0"/>
                  <w:lang w:val="en-GB"/>
                </w:rPr>
                <w:t>Annex 2: Example of Consultation Workshop Agenda</w:t>
              </w:r>
            </w:hyperlink>
          </w:p>
        </w:tc>
      </w:tr>
      <w:tr w:rsidR="0069679F" w:rsidRPr="00FF6DD6" w14:paraId="2BA319A5" w14:textId="77777777" w:rsidTr="00C33D9B">
        <w:trPr>
          <w:trHeight w:val="300"/>
        </w:trPr>
        <w:tc>
          <w:tcPr>
            <w:cnfStyle w:val="001000000000" w:firstRow="0" w:lastRow="0" w:firstColumn="1" w:lastColumn="0" w:oddVBand="0" w:evenVBand="0" w:oddHBand="0" w:evenHBand="0" w:firstRowFirstColumn="0" w:firstRowLastColumn="0" w:lastRowFirstColumn="0" w:lastRowLastColumn="0"/>
            <w:tcW w:w="9351" w:type="dxa"/>
            <w:hideMark/>
          </w:tcPr>
          <w:p w14:paraId="3548243D" w14:textId="43BB44BC" w:rsidR="0069679F" w:rsidRPr="002B1B0C" w:rsidRDefault="003C7923" w:rsidP="00C33D9B">
            <w:pPr>
              <w:pStyle w:val="Body"/>
              <w:rPr>
                <w:u w:val="single"/>
                <w:lang w:val="en-GB"/>
              </w:rPr>
            </w:pPr>
            <w:hyperlink r:id="rId59" w:history="1">
              <w:r w:rsidR="0069679F" w:rsidRPr="002B1B0C">
                <w:rPr>
                  <w:rStyle w:val="Hyperlink"/>
                  <w:b w:val="0"/>
                  <w:bCs w:val="0"/>
                  <w:lang w:val="en-GB"/>
                </w:rPr>
                <w:t>Annex 3: Optional Consultation Report template</w:t>
              </w:r>
            </w:hyperlink>
          </w:p>
        </w:tc>
      </w:tr>
      <w:tr w:rsidR="0069679F" w:rsidRPr="00FF6DD6" w14:paraId="5B35DFB8" w14:textId="77777777" w:rsidTr="00C33D9B">
        <w:trPr>
          <w:trHeight w:val="300"/>
        </w:trPr>
        <w:tc>
          <w:tcPr>
            <w:cnfStyle w:val="001000000000" w:firstRow="0" w:lastRow="0" w:firstColumn="1" w:lastColumn="0" w:oddVBand="0" w:evenVBand="0" w:oddHBand="0" w:evenHBand="0" w:firstRowFirstColumn="0" w:firstRowLastColumn="0" w:lastRowFirstColumn="0" w:lastRowLastColumn="0"/>
            <w:tcW w:w="9351" w:type="dxa"/>
            <w:hideMark/>
          </w:tcPr>
          <w:p w14:paraId="2B1B8E7B" w14:textId="6AB4C841" w:rsidR="0069679F" w:rsidRPr="002B1B0C" w:rsidRDefault="003C7923" w:rsidP="00C33D9B">
            <w:pPr>
              <w:pStyle w:val="Body"/>
              <w:rPr>
                <w:u w:val="single"/>
                <w:lang w:val="en-GB"/>
              </w:rPr>
            </w:pPr>
            <w:hyperlink r:id="rId60" w:history="1">
              <w:r w:rsidR="0069679F" w:rsidRPr="002B1B0C">
                <w:rPr>
                  <w:rStyle w:val="Hyperlink"/>
                  <w:b w:val="0"/>
                  <w:bCs w:val="0"/>
                  <w:lang w:val="en-GB"/>
                </w:rPr>
                <w:t>Annex 4: Facilitator's Terms of Reference template</w:t>
              </w:r>
            </w:hyperlink>
          </w:p>
        </w:tc>
      </w:tr>
    </w:tbl>
    <w:p w14:paraId="02D75F58" w14:textId="77777777" w:rsidR="00D57092" w:rsidRPr="00EB3205" w:rsidRDefault="00D57092" w:rsidP="00D57092">
      <w:pPr>
        <w:pStyle w:val="Body"/>
        <w:rPr>
          <w:lang w:val="en-GB"/>
        </w:rPr>
      </w:pPr>
    </w:p>
    <w:sectPr w:rsidR="00D57092" w:rsidRPr="00EB3205" w:rsidSect="003732C1">
      <w:headerReference w:type="default" r:id="rId61"/>
      <w:footerReference w:type="default" r:id="rId6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DB5DAF" w14:textId="77777777" w:rsidR="00F05855" w:rsidRDefault="00F05855" w:rsidP="009819C7">
      <w:r>
        <w:separator/>
      </w:r>
    </w:p>
  </w:endnote>
  <w:endnote w:type="continuationSeparator" w:id="0">
    <w:p w14:paraId="73BF9E4C" w14:textId="77777777" w:rsidR="00F05855" w:rsidRDefault="00F05855"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Times New Roman (Body CS)">
    <w:altName w:val="Times New Roman"/>
    <w:panose1 w:val="00000000000000000000"/>
    <w:charset w:val="00"/>
    <w:family w:val="roman"/>
    <w:notTrueType/>
    <w:pitch w:val="default"/>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3329204"/>
      <w:docPartObj>
        <w:docPartGallery w:val="Page Numbers (Bottom of Page)"/>
        <w:docPartUnique/>
      </w:docPartObj>
    </w:sdtPr>
    <w:sdtEndPr>
      <w:rPr>
        <w:noProof/>
      </w:rPr>
    </w:sdtEndPr>
    <w:sdtContent>
      <w:p w14:paraId="2AA6DC80" w14:textId="077589A1" w:rsidR="002A0CCF" w:rsidRDefault="002A0CCF">
        <w:pPr>
          <w:pStyle w:val="Footer"/>
          <w:jc w:val="right"/>
        </w:pPr>
        <w:r>
          <w:fldChar w:fldCharType="begin"/>
        </w:r>
        <w:r>
          <w:instrText xml:space="preserve"> PAGE   \* MERGEFORMAT </w:instrText>
        </w:r>
        <w:r>
          <w:fldChar w:fldCharType="separate"/>
        </w:r>
        <w:r w:rsidR="0045602F">
          <w:rPr>
            <w:noProof/>
          </w:rPr>
          <w:t>12</w:t>
        </w:r>
        <w:r>
          <w:rPr>
            <w:noProof/>
          </w:rPr>
          <w:fldChar w:fldCharType="end"/>
        </w:r>
      </w:p>
    </w:sdtContent>
  </w:sdt>
  <w:p w14:paraId="4089E08A" w14:textId="7FF9BBCE" w:rsidR="002A0CCF" w:rsidRPr="00382FD3" w:rsidRDefault="002A0CCF" w:rsidP="00382FD3">
    <w:pPr>
      <w:pStyle w:val="Footer"/>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C12859" w14:textId="77777777" w:rsidR="00F05855" w:rsidRDefault="00F05855" w:rsidP="009819C7">
      <w:r>
        <w:separator/>
      </w:r>
    </w:p>
  </w:footnote>
  <w:footnote w:type="continuationSeparator" w:id="0">
    <w:p w14:paraId="44F47084" w14:textId="77777777" w:rsidR="00F05855" w:rsidRDefault="00F05855" w:rsidP="009819C7">
      <w:r>
        <w:continuationSeparator/>
      </w:r>
    </w:p>
  </w:footnote>
  <w:footnote w:id="1">
    <w:p w14:paraId="7DC8E94F" w14:textId="77777777" w:rsidR="002A0CCF" w:rsidRDefault="002A0CCF" w:rsidP="00C45F55">
      <w:pPr>
        <w:pStyle w:val="FootnoteText"/>
        <w:rPr>
          <w:sz w:val="20"/>
          <w:szCs w:val="20"/>
          <w:lang w:val="en-US"/>
        </w:rPr>
      </w:pPr>
      <w:r w:rsidRPr="001B35CA">
        <w:rPr>
          <w:rStyle w:val="FootnoteReference"/>
          <w:color w:val="194869" w:themeColor="accent1"/>
        </w:rPr>
        <w:footnoteRef/>
      </w:r>
      <w:r w:rsidRPr="001B35CA">
        <w:rPr>
          <w:color w:val="194869" w:themeColor="accent1"/>
        </w:rPr>
        <w:t xml:space="preserve"> </w:t>
      </w:r>
      <w:r w:rsidRPr="001B35CA">
        <w:rPr>
          <w:color w:val="194869" w:themeColor="accent1"/>
          <w:sz w:val="20"/>
          <w:szCs w:val="20"/>
        </w:rPr>
        <w:t>I</w:t>
      </w:r>
      <w:r w:rsidRPr="001B35CA">
        <w:rPr>
          <w:rFonts w:eastAsia="Segoe UI"/>
          <w:color w:val="194869" w:themeColor="accent1"/>
          <w:sz w:val="20"/>
          <w:szCs w:val="20"/>
        </w:rPr>
        <w:t>f the Focal Point is from a National Statistical Office or Division, it is recommended that they coordinate with the national body responsible for water resources for the purpose of the SDG 6.5.1 reporting process.</w:t>
      </w:r>
    </w:p>
  </w:footnote>
  <w:footnote w:id="2">
    <w:p w14:paraId="0E33FB8B" w14:textId="77777777" w:rsidR="00342022" w:rsidRPr="001B35CA" w:rsidRDefault="00342022" w:rsidP="00342022">
      <w:pPr>
        <w:rPr>
          <w:rFonts w:ascii="Calibri" w:eastAsia="Calibri" w:hAnsi="Calibri" w:cs="Calibri"/>
          <w:color w:val="194869" w:themeColor="accent1"/>
          <w:sz w:val="22"/>
          <w:szCs w:val="22"/>
          <w:lang w:val="en-US"/>
        </w:rPr>
      </w:pPr>
      <w:r w:rsidRPr="001B35CA">
        <w:rPr>
          <w:rStyle w:val="FootnoteReference"/>
          <w:color w:val="194869" w:themeColor="accent1"/>
        </w:rPr>
        <w:footnoteRef/>
      </w:r>
      <w:r w:rsidRPr="001B35CA">
        <w:rPr>
          <w:color w:val="194869" w:themeColor="accent1"/>
          <w:sz w:val="28"/>
          <w:szCs w:val="28"/>
        </w:rPr>
        <w:t xml:space="preserve"> </w:t>
      </w:r>
      <w:r w:rsidRPr="001B35CA">
        <w:rPr>
          <w:rFonts w:ascii="Calibri" w:eastAsia="Calibri" w:hAnsi="Calibri" w:cs="Calibri"/>
          <w:color w:val="194869" w:themeColor="accent1"/>
          <w:sz w:val="20"/>
          <w:szCs w:val="20"/>
        </w:rPr>
        <w:t>For example, question 2.1d on “Private sector participation in water resources development, management and use” could take place with a combination of representatives of the private sector and water resources managers. This might be a short, focused session, or a series of sessions, aiming to consolidate understanding and move towards consensus.</w:t>
      </w:r>
    </w:p>
  </w:footnote>
  <w:footnote w:id="3">
    <w:p w14:paraId="7B45B193" w14:textId="77777777" w:rsidR="00342022" w:rsidRPr="001B35CA" w:rsidRDefault="00342022" w:rsidP="00342022">
      <w:pPr>
        <w:pStyle w:val="FootnoteText"/>
        <w:rPr>
          <w:rFonts w:eastAsia="Arial Unicode MS"/>
          <w:color w:val="194869" w:themeColor="accent1"/>
          <w:sz w:val="20"/>
          <w:szCs w:val="20"/>
        </w:rPr>
      </w:pPr>
      <w:r w:rsidRPr="001B35CA">
        <w:rPr>
          <w:rStyle w:val="FootnoteReference"/>
          <w:color w:val="194869" w:themeColor="accent1"/>
        </w:rPr>
        <w:footnoteRef/>
      </w:r>
      <w:r w:rsidRPr="001B35CA">
        <w:rPr>
          <w:color w:val="194869" w:themeColor="accent1"/>
        </w:rPr>
        <w:t xml:space="preserve"> </w:t>
      </w:r>
      <w:r w:rsidRPr="001B35CA">
        <w:rPr>
          <w:color w:val="194869" w:themeColor="accent1"/>
          <w:sz w:val="20"/>
          <w:szCs w:val="20"/>
        </w:rPr>
        <w:t xml:space="preserve"> Based on an analysis of multi-stakeholder consultation processes for SDG 6.5.1 reporting: </w:t>
      </w:r>
    </w:p>
    <w:p w14:paraId="3BBA4971" w14:textId="77777777" w:rsidR="00342022" w:rsidRDefault="00342022" w:rsidP="00342022">
      <w:pPr>
        <w:pStyle w:val="FootnoteText"/>
        <w:rPr>
          <w:rFonts w:ascii="Times New Roman" w:hAnsi="Times New Roman" w:cs="Times New Roman"/>
          <w:sz w:val="20"/>
          <w:szCs w:val="20"/>
        </w:rPr>
      </w:pPr>
      <w:r w:rsidRPr="001B35CA">
        <w:rPr>
          <w:sz w:val="20"/>
          <w:szCs w:val="20"/>
        </w:rPr>
        <w:t xml:space="preserve"> </w:t>
      </w:r>
      <w:hyperlink r:id="rId1" w:history="1">
        <w:r w:rsidRPr="001B35CA">
          <w:rPr>
            <w:rStyle w:val="Hyperlink"/>
            <w:sz w:val="20"/>
            <w:szCs w:val="20"/>
          </w:rPr>
          <w:t>https://www.gwp.org/en/sdg6support/MSPs/</w:t>
        </w:r>
      </w:hyperlink>
    </w:p>
  </w:footnote>
  <w:footnote w:id="4">
    <w:p w14:paraId="74A04366" w14:textId="77777777" w:rsidR="00342022" w:rsidRDefault="00342022" w:rsidP="00342022">
      <w:pPr>
        <w:pStyle w:val="FootnoteText"/>
        <w:rPr>
          <w:sz w:val="18"/>
          <w:szCs w:val="18"/>
        </w:rPr>
      </w:pPr>
      <w:r w:rsidRPr="001B35CA">
        <w:rPr>
          <w:rStyle w:val="FootnoteReference"/>
          <w:color w:val="194869" w:themeColor="accent1"/>
        </w:rPr>
        <w:footnoteRef/>
      </w:r>
      <w:r w:rsidRPr="001B35CA">
        <w:rPr>
          <w:color w:val="194869" w:themeColor="accent1"/>
        </w:rPr>
        <w:t xml:space="preserve"> </w:t>
      </w:r>
      <w:r w:rsidRPr="001B35CA">
        <w:rPr>
          <w:color w:val="194869" w:themeColor="accent1"/>
          <w:sz w:val="20"/>
          <w:szCs w:val="20"/>
        </w:rPr>
        <w:t xml:space="preserve">For </w:t>
      </w:r>
      <w:proofErr w:type="gramStart"/>
      <w:r w:rsidRPr="001B35CA">
        <w:rPr>
          <w:color w:val="194869" w:themeColor="accent1"/>
          <w:sz w:val="20"/>
          <w:szCs w:val="20"/>
        </w:rPr>
        <w:t>particular questions</w:t>
      </w:r>
      <w:proofErr w:type="gramEnd"/>
      <w:r w:rsidRPr="001B35CA">
        <w:rPr>
          <w:color w:val="194869" w:themeColor="accent1"/>
          <w:sz w:val="20"/>
          <w:szCs w:val="20"/>
        </w:rPr>
        <w:t xml:space="preserve"> in the survey, representation or expertise in the following areas is highly recommended: climate adaptation and mitigation (several responses); private sector (q.2.1d); vulnerable groups (q.2.2c); gender (q.2.2d); transboundary questions (q’s 1.2c, 2.2e, 3.2d, 4.2c).</w:t>
      </w:r>
    </w:p>
  </w:footnote>
  <w:footnote w:id="5">
    <w:p w14:paraId="4DDC8EE5" w14:textId="77777777" w:rsidR="00D57092" w:rsidRDefault="00D57092" w:rsidP="00D57092">
      <w:pPr>
        <w:pStyle w:val="FootnoteText"/>
        <w:rPr>
          <w:rFonts w:eastAsia="Arial Unicode MS"/>
          <w:sz w:val="20"/>
          <w:szCs w:val="20"/>
          <w:lang w:val="en-US"/>
        </w:rPr>
      </w:pPr>
      <w:r w:rsidRPr="001B35CA">
        <w:rPr>
          <w:rStyle w:val="FootnoteReference"/>
          <w:color w:val="194869" w:themeColor="accent1"/>
        </w:rPr>
        <w:footnoteRef/>
      </w:r>
      <w:r w:rsidRPr="001B35CA">
        <w:rPr>
          <w:color w:val="194869" w:themeColor="accent1"/>
        </w:rPr>
        <w:t xml:space="preserve"> </w:t>
      </w:r>
      <w:r w:rsidRPr="001B35CA">
        <w:rPr>
          <w:color w:val="194869" w:themeColor="accent1"/>
          <w:sz w:val="20"/>
          <w:szCs w:val="20"/>
        </w:rPr>
        <w:t xml:space="preserve">Based on an analysis of multi-stakeholder consultation processes for SDG 6.5.1 reporting: </w:t>
      </w:r>
      <w:hyperlink r:id="rId2" w:history="1">
        <w:r w:rsidRPr="001B35CA">
          <w:rPr>
            <w:rStyle w:val="Hyperlink"/>
            <w:sz w:val="20"/>
            <w:szCs w:val="20"/>
          </w:rPr>
          <w:t>https://www.gwp.org/en/sdg6support/MSPs/</w:t>
        </w:r>
      </w:hyperlink>
    </w:p>
  </w:footnote>
  <w:footnote w:id="6">
    <w:p w14:paraId="5747E51E" w14:textId="77777777" w:rsidR="00D57092" w:rsidRDefault="00D57092" w:rsidP="00D57092">
      <w:pPr>
        <w:pStyle w:val="FootnoteText"/>
        <w:rPr>
          <w:rFonts w:eastAsia="Arial Unicode MS"/>
          <w:sz w:val="20"/>
          <w:szCs w:val="20"/>
          <w:lang w:val="en-US"/>
        </w:rPr>
      </w:pPr>
      <w:r>
        <w:rPr>
          <w:rStyle w:val="FootnoteReference"/>
        </w:rPr>
        <w:footnoteRef/>
      </w:r>
      <w:r w:rsidRPr="001B35CA">
        <w:rPr>
          <w:sz w:val="20"/>
          <w:szCs w:val="20"/>
        </w:rPr>
        <w:t xml:space="preserve"> </w:t>
      </w:r>
      <w:r w:rsidRPr="001B35CA">
        <w:rPr>
          <w:color w:val="194869" w:themeColor="accent1"/>
          <w:sz w:val="20"/>
          <w:szCs w:val="20"/>
        </w:rPr>
        <w:t xml:space="preserve">Based on an analysis of multi-stakeholder consultation processes for SDG 6.5.1 reporting:  </w:t>
      </w:r>
      <w:hyperlink r:id="rId3" w:history="1">
        <w:r w:rsidRPr="001B35CA">
          <w:rPr>
            <w:rStyle w:val="Hyperlink"/>
            <w:sz w:val="20"/>
            <w:szCs w:val="20"/>
          </w:rPr>
          <w:t>https://www.gwp.org/en/sdg6support/MSPs/</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2A0CCF" w:rsidRPr="00D21046" w:rsidRDefault="002A0CCF" w:rsidP="00ED744C">
    <w:pPr>
      <w:pStyle w:val="Header"/>
      <w:jc w:val="right"/>
      <w:rPr>
        <w:color w:val="323E4F" w:themeColor="text2" w:themeShade="BF"/>
        <w:sz w:val="16"/>
        <w:szCs w:val="16"/>
      </w:rPr>
    </w:pPr>
    <w:r>
      <w:rPr>
        <w:noProof/>
        <w:color w:val="323E4F" w:themeColor="text2" w:themeShade="BF"/>
        <w:sz w:val="16"/>
        <w:szCs w:val="16"/>
        <w:lang w:val="en-US"/>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D380"/>
    <w:multiLevelType w:val="multilevel"/>
    <w:tmpl w:val="F7F88EC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3FC1572"/>
    <w:multiLevelType w:val="hybridMultilevel"/>
    <w:tmpl w:val="1B366E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D731F0F"/>
    <w:multiLevelType w:val="multilevel"/>
    <w:tmpl w:val="52365F70"/>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 w15:restartNumberingAfterBreak="0">
    <w:nsid w:val="101B1776"/>
    <w:multiLevelType w:val="hybridMultilevel"/>
    <w:tmpl w:val="36E2E5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5156AC4"/>
    <w:multiLevelType w:val="multilevel"/>
    <w:tmpl w:val="4474AB50"/>
    <w:lvl w:ilvl="0">
      <w:start w:val="4"/>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5" w15:restartNumberingAfterBreak="0">
    <w:nsid w:val="1B3C7A8C"/>
    <w:multiLevelType w:val="multilevel"/>
    <w:tmpl w:val="621E872C"/>
    <w:lvl w:ilvl="0">
      <w:start w:val="5"/>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6"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5EBAC94"/>
    <w:multiLevelType w:val="multilevel"/>
    <w:tmpl w:val="3CAA992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EF825CB"/>
    <w:multiLevelType w:val="multilevel"/>
    <w:tmpl w:val="06C4F70E"/>
    <w:lvl w:ilvl="0">
      <w:start w:val="1"/>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0" w15:restartNumberingAfterBreak="0">
    <w:nsid w:val="34D810FB"/>
    <w:multiLevelType w:val="hybridMultilevel"/>
    <w:tmpl w:val="D71E1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355D40"/>
    <w:multiLevelType w:val="multilevel"/>
    <w:tmpl w:val="40B4A096"/>
    <w:lvl w:ilvl="0">
      <w:start w:val="3"/>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2"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4B2474CA"/>
    <w:multiLevelType w:val="hybridMultilevel"/>
    <w:tmpl w:val="8E4092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51986933"/>
    <w:multiLevelType w:val="hybridMultilevel"/>
    <w:tmpl w:val="23829BFC"/>
    <w:lvl w:ilvl="0" w:tplc="FFFFFFF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51B03986"/>
    <w:multiLevelType w:val="multilevel"/>
    <w:tmpl w:val="AAC2704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2490C06"/>
    <w:multiLevelType w:val="multilevel"/>
    <w:tmpl w:val="DADA7D8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7" w15:restartNumberingAfterBreak="0">
    <w:nsid w:val="568F6800"/>
    <w:multiLevelType w:val="hybridMultilevel"/>
    <w:tmpl w:val="873A5C76"/>
    <w:lvl w:ilvl="0" w:tplc="0409000F">
      <w:start w:val="1"/>
      <w:numFmt w:val="decimal"/>
      <w:lvlText w:val="%1."/>
      <w:lvlJc w:val="left"/>
      <w:pPr>
        <w:ind w:left="360" w:hanging="360"/>
      </w:pPr>
    </w:lvl>
    <w:lvl w:ilvl="1" w:tplc="A6E05D2A">
      <w:start w:val="3"/>
      <w:numFmt w:val="decimal"/>
      <w:lvlText w:val="%2.1"/>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DC92774"/>
    <w:multiLevelType w:val="hybridMultilevel"/>
    <w:tmpl w:val="831C29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5EBA587A"/>
    <w:multiLevelType w:val="multilevel"/>
    <w:tmpl w:val="DE3C5876"/>
    <w:lvl w:ilvl="0">
      <w:start w:val="5"/>
      <w:numFmt w:val="decimal"/>
      <w:lvlText w:val="%1."/>
      <w:lvlJc w:val="left"/>
      <w:pPr>
        <w:tabs>
          <w:tab w:val="num" w:pos="0"/>
        </w:tabs>
        <w:ind w:left="0" w:hanging="360"/>
      </w:pPr>
      <w:rPr>
        <w:rFonts w:asciiTheme="minorHAnsi" w:hAnsiTheme="minorHAnsi" w:cstheme="minorHAnsi" w:hint="default"/>
        <w:sz w:val="22"/>
        <w:szCs w:val="22"/>
      </w:r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0" w15:restartNumberingAfterBreak="0">
    <w:nsid w:val="5EDD0118"/>
    <w:multiLevelType w:val="hybridMultilevel"/>
    <w:tmpl w:val="57F4BEBC"/>
    <w:lvl w:ilvl="0" w:tplc="BD40BEEC">
      <w:start w:val="1"/>
      <w:numFmt w:val="bullet"/>
      <w:lvlText w:val=""/>
      <w:lvlJc w:val="left"/>
      <w:pPr>
        <w:tabs>
          <w:tab w:val="num" w:pos="450"/>
        </w:tabs>
        <w:ind w:left="450" w:hanging="360"/>
      </w:pPr>
      <w:rPr>
        <w:rFonts w:ascii="Symbol" w:hAnsi="Symbol" w:hint="default"/>
        <w:sz w:val="20"/>
      </w:rPr>
    </w:lvl>
    <w:lvl w:ilvl="1" w:tplc="E7927C64">
      <w:start w:val="1"/>
      <w:numFmt w:val="bullet"/>
      <w:lvlText w:val=""/>
      <w:lvlJc w:val="left"/>
      <w:pPr>
        <w:tabs>
          <w:tab w:val="num" w:pos="1440"/>
        </w:tabs>
        <w:ind w:left="1440" w:hanging="360"/>
      </w:pPr>
      <w:rPr>
        <w:rFonts w:ascii="Symbol" w:hAnsi="Symbol" w:hint="default"/>
        <w:sz w:val="20"/>
      </w:rPr>
    </w:lvl>
    <w:lvl w:ilvl="2" w:tplc="A4CA6A72">
      <w:start w:val="1"/>
      <w:numFmt w:val="bullet"/>
      <w:lvlText w:val=""/>
      <w:lvlJc w:val="left"/>
      <w:pPr>
        <w:tabs>
          <w:tab w:val="num" w:pos="2160"/>
        </w:tabs>
        <w:ind w:left="2160" w:hanging="360"/>
      </w:pPr>
      <w:rPr>
        <w:rFonts w:ascii="Symbol" w:hAnsi="Symbol" w:hint="default"/>
        <w:sz w:val="20"/>
      </w:rPr>
    </w:lvl>
    <w:lvl w:ilvl="3" w:tplc="333C02B8">
      <w:start w:val="1"/>
      <w:numFmt w:val="bullet"/>
      <w:lvlText w:val=""/>
      <w:lvlJc w:val="left"/>
      <w:pPr>
        <w:tabs>
          <w:tab w:val="num" w:pos="2880"/>
        </w:tabs>
        <w:ind w:left="2880" w:hanging="360"/>
      </w:pPr>
      <w:rPr>
        <w:rFonts w:ascii="Symbol" w:hAnsi="Symbol" w:hint="default"/>
        <w:sz w:val="20"/>
      </w:rPr>
    </w:lvl>
    <w:lvl w:ilvl="4" w:tplc="85E04646">
      <w:start w:val="1"/>
      <w:numFmt w:val="bullet"/>
      <w:lvlText w:val=""/>
      <w:lvlJc w:val="left"/>
      <w:pPr>
        <w:tabs>
          <w:tab w:val="num" w:pos="3600"/>
        </w:tabs>
        <w:ind w:left="3600" w:hanging="360"/>
      </w:pPr>
      <w:rPr>
        <w:rFonts w:ascii="Symbol" w:hAnsi="Symbol" w:hint="default"/>
        <w:sz w:val="20"/>
      </w:rPr>
    </w:lvl>
    <w:lvl w:ilvl="5" w:tplc="4E5C8E42">
      <w:start w:val="1"/>
      <w:numFmt w:val="bullet"/>
      <w:lvlText w:val=""/>
      <w:lvlJc w:val="left"/>
      <w:pPr>
        <w:tabs>
          <w:tab w:val="num" w:pos="4320"/>
        </w:tabs>
        <w:ind w:left="4320" w:hanging="360"/>
      </w:pPr>
      <w:rPr>
        <w:rFonts w:ascii="Symbol" w:hAnsi="Symbol" w:hint="default"/>
        <w:sz w:val="20"/>
      </w:rPr>
    </w:lvl>
    <w:lvl w:ilvl="6" w:tplc="1F58F08E">
      <w:start w:val="1"/>
      <w:numFmt w:val="bullet"/>
      <w:lvlText w:val=""/>
      <w:lvlJc w:val="left"/>
      <w:pPr>
        <w:tabs>
          <w:tab w:val="num" w:pos="5040"/>
        </w:tabs>
        <w:ind w:left="5040" w:hanging="360"/>
      </w:pPr>
      <w:rPr>
        <w:rFonts w:ascii="Symbol" w:hAnsi="Symbol" w:hint="default"/>
        <w:sz w:val="20"/>
      </w:rPr>
    </w:lvl>
    <w:lvl w:ilvl="7" w:tplc="FABCBC5E">
      <w:start w:val="1"/>
      <w:numFmt w:val="bullet"/>
      <w:lvlText w:val=""/>
      <w:lvlJc w:val="left"/>
      <w:pPr>
        <w:tabs>
          <w:tab w:val="num" w:pos="5760"/>
        </w:tabs>
        <w:ind w:left="5760" w:hanging="360"/>
      </w:pPr>
      <w:rPr>
        <w:rFonts w:ascii="Symbol" w:hAnsi="Symbol" w:hint="default"/>
        <w:sz w:val="20"/>
      </w:rPr>
    </w:lvl>
    <w:lvl w:ilvl="8" w:tplc="F17CE89E">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09749EA"/>
    <w:multiLevelType w:val="hybridMultilevel"/>
    <w:tmpl w:val="342036D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2" w15:restartNumberingAfterBreak="0">
    <w:nsid w:val="63FE5E57"/>
    <w:multiLevelType w:val="multilevel"/>
    <w:tmpl w:val="18C4A0D2"/>
    <w:lvl w:ilvl="0">
      <w:start w:val="2"/>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3" w15:restartNumberingAfterBreak="0">
    <w:nsid w:val="66522B69"/>
    <w:multiLevelType w:val="hybridMultilevel"/>
    <w:tmpl w:val="2FF89E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6BBA1DD0"/>
    <w:multiLevelType w:val="hybridMultilevel"/>
    <w:tmpl w:val="2854A47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71837F51"/>
    <w:multiLevelType w:val="hybridMultilevel"/>
    <w:tmpl w:val="387EB824"/>
    <w:lvl w:ilvl="0" w:tplc="1D00F0A0">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79CA079A"/>
    <w:multiLevelType w:val="multilevel"/>
    <w:tmpl w:val="847AC1C6"/>
    <w:lvl w:ilvl="0">
      <w:start w:val="3"/>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7" w15:restartNumberingAfterBreak="0">
    <w:nsid w:val="7B857AC2"/>
    <w:multiLevelType w:val="multilevel"/>
    <w:tmpl w:val="53B48A00"/>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8" w15:restartNumberingAfterBreak="0">
    <w:nsid w:val="7C005D3E"/>
    <w:multiLevelType w:val="multilevel"/>
    <w:tmpl w:val="D8745B80"/>
    <w:lvl w:ilvl="0">
      <w:start w:val="4"/>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num w:numId="1" w16cid:durableId="83114728">
    <w:abstractNumId w:val="12"/>
  </w:num>
  <w:num w:numId="2" w16cid:durableId="87046336">
    <w:abstractNumId w:val="17"/>
  </w:num>
  <w:num w:numId="3" w16cid:durableId="1235818980">
    <w:abstractNumId w:val="27"/>
  </w:num>
  <w:num w:numId="4" w16cid:durableId="96753957">
    <w:abstractNumId w:val="25"/>
  </w:num>
  <w:num w:numId="5" w16cid:durableId="136544628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886722168">
    <w:abstractNumId w:val="13"/>
  </w:num>
  <w:num w:numId="7" w16cid:durableId="6314174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42698374">
    <w:abstractNumId w:val="3"/>
  </w:num>
  <w:num w:numId="9" w16cid:durableId="1342048096">
    <w:abstractNumId w:val="23"/>
  </w:num>
  <w:num w:numId="10" w16cid:durableId="980495901">
    <w:abstractNumId w:val="21"/>
  </w:num>
  <w:num w:numId="11" w16cid:durableId="1554998073">
    <w:abstractNumId w:val="1"/>
  </w:num>
  <w:num w:numId="12" w16cid:durableId="1256131429">
    <w:abstractNumId w:val="8"/>
  </w:num>
  <w:num w:numId="13" w16cid:durableId="1478915066">
    <w:abstractNumId w:val="6"/>
  </w:num>
  <w:num w:numId="14" w16cid:durableId="1655646393">
    <w:abstractNumId w:val="18"/>
  </w:num>
  <w:num w:numId="15" w16cid:durableId="3624730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14762568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71866766">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370686044">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637075757">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001659516">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983123821">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6450845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691227677">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65341133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432631293">
    <w:abstractNumId w:val="2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0296924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245146434">
    <w:abstractNumId w:val="1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877235017">
    <w:abstractNumId w:val="20"/>
  </w:num>
  <w:num w:numId="29" w16cid:durableId="1155104221">
    <w:abstractNumId w:val="1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F19"/>
    <w:rsid w:val="00026F5A"/>
    <w:rsid w:val="00030CDA"/>
    <w:rsid w:val="000421CD"/>
    <w:rsid w:val="00072A4A"/>
    <w:rsid w:val="000753E2"/>
    <w:rsid w:val="0008006A"/>
    <w:rsid w:val="000C284B"/>
    <w:rsid w:val="000C6D88"/>
    <w:rsid w:val="000E5AD0"/>
    <w:rsid w:val="001226CD"/>
    <w:rsid w:val="001236FA"/>
    <w:rsid w:val="001348B4"/>
    <w:rsid w:val="00137A02"/>
    <w:rsid w:val="00174110"/>
    <w:rsid w:val="00174129"/>
    <w:rsid w:val="0019109F"/>
    <w:rsid w:val="0019531E"/>
    <w:rsid w:val="0019594B"/>
    <w:rsid w:val="001A226E"/>
    <w:rsid w:val="001A7C59"/>
    <w:rsid w:val="001B35CA"/>
    <w:rsid w:val="001C7CCF"/>
    <w:rsid w:val="001D71EC"/>
    <w:rsid w:val="001E3DD4"/>
    <w:rsid w:val="002179BE"/>
    <w:rsid w:val="00217A87"/>
    <w:rsid w:val="00235F7A"/>
    <w:rsid w:val="00242C7B"/>
    <w:rsid w:val="00244D2A"/>
    <w:rsid w:val="00296D4E"/>
    <w:rsid w:val="002A0CCF"/>
    <w:rsid w:val="002B08AA"/>
    <w:rsid w:val="002B1B0C"/>
    <w:rsid w:val="002D031F"/>
    <w:rsid w:val="002D1210"/>
    <w:rsid w:val="002D4607"/>
    <w:rsid w:val="002F13BE"/>
    <w:rsid w:val="003056B4"/>
    <w:rsid w:val="00321419"/>
    <w:rsid w:val="00342022"/>
    <w:rsid w:val="00345F82"/>
    <w:rsid w:val="00350EB9"/>
    <w:rsid w:val="00357599"/>
    <w:rsid w:val="003732C1"/>
    <w:rsid w:val="00382FD3"/>
    <w:rsid w:val="003867BA"/>
    <w:rsid w:val="003C0692"/>
    <w:rsid w:val="003C2E29"/>
    <w:rsid w:val="003D7EC1"/>
    <w:rsid w:val="003F6568"/>
    <w:rsid w:val="00405460"/>
    <w:rsid w:val="004134D1"/>
    <w:rsid w:val="004141A9"/>
    <w:rsid w:val="00444243"/>
    <w:rsid w:val="004500D5"/>
    <w:rsid w:val="00450569"/>
    <w:rsid w:val="00455766"/>
    <w:rsid w:val="0045602F"/>
    <w:rsid w:val="004646E9"/>
    <w:rsid w:val="00475601"/>
    <w:rsid w:val="00483DB1"/>
    <w:rsid w:val="00485D3B"/>
    <w:rsid w:val="004903EE"/>
    <w:rsid w:val="004D6FF9"/>
    <w:rsid w:val="004F4F46"/>
    <w:rsid w:val="00530BA8"/>
    <w:rsid w:val="005410E9"/>
    <w:rsid w:val="005550D4"/>
    <w:rsid w:val="0057073D"/>
    <w:rsid w:val="005C0751"/>
    <w:rsid w:val="005C4351"/>
    <w:rsid w:val="005C7E25"/>
    <w:rsid w:val="005E6318"/>
    <w:rsid w:val="005F1AB2"/>
    <w:rsid w:val="005F2048"/>
    <w:rsid w:val="006101CE"/>
    <w:rsid w:val="006114D9"/>
    <w:rsid w:val="00677B9C"/>
    <w:rsid w:val="0069465E"/>
    <w:rsid w:val="0069679F"/>
    <w:rsid w:val="006A7BDE"/>
    <w:rsid w:val="006C21B5"/>
    <w:rsid w:val="006E2EAE"/>
    <w:rsid w:val="006F203B"/>
    <w:rsid w:val="00717164"/>
    <w:rsid w:val="007216EF"/>
    <w:rsid w:val="007221C3"/>
    <w:rsid w:val="0074182F"/>
    <w:rsid w:val="007626D9"/>
    <w:rsid w:val="007C3745"/>
    <w:rsid w:val="007E6CB6"/>
    <w:rsid w:val="007F2071"/>
    <w:rsid w:val="007F2931"/>
    <w:rsid w:val="008078E3"/>
    <w:rsid w:val="00844946"/>
    <w:rsid w:val="00861568"/>
    <w:rsid w:val="00866366"/>
    <w:rsid w:val="0088609C"/>
    <w:rsid w:val="00895442"/>
    <w:rsid w:val="008B4AB1"/>
    <w:rsid w:val="008B62D2"/>
    <w:rsid w:val="008E2EB5"/>
    <w:rsid w:val="008E5D49"/>
    <w:rsid w:val="008F0094"/>
    <w:rsid w:val="0090455F"/>
    <w:rsid w:val="009249F6"/>
    <w:rsid w:val="009271A8"/>
    <w:rsid w:val="0096136B"/>
    <w:rsid w:val="00970943"/>
    <w:rsid w:val="009819C7"/>
    <w:rsid w:val="00987A75"/>
    <w:rsid w:val="009C625F"/>
    <w:rsid w:val="009D20C4"/>
    <w:rsid w:val="009E4EB3"/>
    <w:rsid w:val="00A00F8E"/>
    <w:rsid w:val="00A07C3D"/>
    <w:rsid w:val="00A12779"/>
    <w:rsid w:val="00A17D75"/>
    <w:rsid w:val="00A25463"/>
    <w:rsid w:val="00A36D48"/>
    <w:rsid w:val="00A43F19"/>
    <w:rsid w:val="00A5744D"/>
    <w:rsid w:val="00A76A59"/>
    <w:rsid w:val="00A86F47"/>
    <w:rsid w:val="00A91844"/>
    <w:rsid w:val="00A948E8"/>
    <w:rsid w:val="00A94D28"/>
    <w:rsid w:val="00AA32D5"/>
    <w:rsid w:val="00AC0882"/>
    <w:rsid w:val="00AC2500"/>
    <w:rsid w:val="00AF6624"/>
    <w:rsid w:val="00B0219D"/>
    <w:rsid w:val="00B06286"/>
    <w:rsid w:val="00B4147B"/>
    <w:rsid w:val="00B43204"/>
    <w:rsid w:val="00B648A5"/>
    <w:rsid w:val="00B7728B"/>
    <w:rsid w:val="00B870E9"/>
    <w:rsid w:val="00BA194C"/>
    <w:rsid w:val="00BB59AC"/>
    <w:rsid w:val="00BC5008"/>
    <w:rsid w:val="00BD2B7A"/>
    <w:rsid w:val="00BF1F60"/>
    <w:rsid w:val="00BF63F2"/>
    <w:rsid w:val="00C140E8"/>
    <w:rsid w:val="00C200DE"/>
    <w:rsid w:val="00C31D43"/>
    <w:rsid w:val="00C44F69"/>
    <w:rsid w:val="00C45F55"/>
    <w:rsid w:val="00C4762A"/>
    <w:rsid w:val="00C529F7"/>
    <w:rsid w:val="00C604A2"/>
    <w:rsid w:val="00C616F2"/>
    <w:rsid w:val="00C671AF"/>
    <w:rsid w:val="00C9439A"/>
    <w:rsid w:val="00C9543D"/>
    <w:rsid w:val="00CB095F"/>
    <w:rsid w:val="00CB2F59"/>
    <w:rsid w:val="00CC54B2"/>
    <w:rsid w:val="00D15DEB"/>
    <w:rsid w:val="00D21046"/>
    <w:rsid w:val="00D22DEC"/>
    <w:rsid w:val="00D24BC4"/>
    <w:rsid w:val="00D34B5B"/>
    <w:rsid w:val="00D35F00"/>
    <w:rsid w:val="00D57092"/>
    <w:rsid w:val="00D6270B"/>
    <w:rsid w:val="00D76B83"/>
    <w:rsid w:val="00D83B26"/>
    <w:rsid w:val="00D8794C"/>
    <w:rsid w:val="00D91BD3"/>
    <w:rsid w:val="00DA2EB8"/>
    <w:rsid w:val="00DA544C"/>
    <w:rsid w:val="00DA7D4D"/>
    <w:rsid w:val="00DB3AEA"/>
    <w:rsid w:val="00DB607D"/>
    <w:rsid w:val="00E43F05"/>
    <w:rsid w:val="00E62B85"/>
    <w:rsid w:val="00E755AC"/>
    <w:rsid w:val="00E97B08"/>
    <w:rsid w:val="00EB3205"/>
    <w:rsid w:val="00ED744C"/>
    <w:rsid w:val="00EE36E6"/>
    <w:rsid w:val="00EF107B"/>
    <w:rsid w:val="00EF1F09"/>
    <w:rsid w:val="00EF3504"/>
    <w:rsid w:val="00F05855"/>
    <w:rsid w:val="00F53CD4"/>
    <w:rsid w:val="00FA42CA"/>
    <w:rsid w:val="00FC02BE"/>
    <w:rsid w:val="00FF6DD6"/>
    <w:rsid w:val="0A8E57C4"/>
    <w:rsid w:val="5F7EDD9A"/>
    <w:rsid w:val="6BE5B64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paragraph" w:styleId="Heading3">
    <w:name w:val="heading 3"/>
    <w:basedOn w:val="Normal"/>
    <w:next w:val="Normal"/>
    <w:link w:val="Heading3Char"/>
    <w:uiPriority w:val="9"/>
    <w:semiHidden/>
    <w:unhideWhenUsed/>
    <w:qFormat/>
    <w:rsid w:val="00A12779"/>
    <w:pPr>
      <w:keepNext/>
      <w:keepLines/>
      <w:spacing w:before="40"/>
      <w:outlineLvl w:val="2"/>
    </w:pPr>
    <w:rPr>
      <w:rFonts w:asciiTheme="majorHAnsi" w:eastAsiaTheme="majorEastAsia" w:hAnsiTheme="majorHAnsi" w:cstheme="majorBidi"/>
      <w:color w:val="0C2334" w:themeColor="accent1" w:themeShade="7F"/>
    </w:rPr>
  </w:style>
  <w:style w:type="paragraph" w:styleId="Heading4">
    <w:name w:val="heading 4"/>
    <w:basedOn w:val="Normal"/>
    <w:next w:val="Normal"/>
    <w:link w:val="Heading4Char"/>
    <w:uiPriority w:val="9"/>
    <w:semiHidden/>
    <w:unhideWhenUsed/>
    <w:qFormat/>
    <w:rsid w:val="00357599"/>
    <w:pPr>
      <w:keepNext/>
      <w:keepLines/>
      <w:spacing w:before="40"/>
      <w:outlineLvl w:val="3"/>
    </w:pPr>
    <w:rPr>
      <w:rFonts w:asciiTheme="majorHAnsi" w:eastAsiaTheme="majorEastAsia" w:hAnsiTheme="majorHAnsi" w:cstheme="majorBidi"/>
      <w:i/>
      <w:iCs/>
      <w:color w:val="1235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rsid w:val="00530BA8"/>
    <w:pPr>
      <w:numPr>
        <w:numId w:val="1"/>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styleId="Hyperlink">
    <w:name w:val="Hyperlink"/>
    <w:basedOn w:val="DefaultParagraphFont"/>
    <w:uiPriority w:val="99"/>
    <w:unhideWhenUsed/>
    <w:rsid w:val="004646E9"/>
    <w:rPr>
      <w:color w:val="8EC044" w:themeColor="hyperlink"/>
      <w:u w:val="single"/>
    </w:rPr>
  </w:style>
  <w:style w:type="paragraph" w:styleId="Subtitle">
    <w:name w:val="Subtitle"/>
    <w:basedOn w:val="Normal"/>
    <w:next w:val="Normal"/>
    <w:link w:val="SubtitleChar"/>
    <w:uiPriority w:val="11"/>
    <w:qFormat/>
    <w:rsid w:val="00970943"/>
    <w:pPr>
      <w:spacing w:after="1000" w:line="276" w:lineRule="auto"/>
    </w:pPr>
    <w:rPr>
      <w:rFonts w:eastAsiaTheme="minorEastAsia"/>
      <w:smallCaps/>
      <w:color w:val="595959" w:themeColor="text1" w:themeTint="A6"/>
      <w:lang w:bidi="en-US"/>
    </w:rPr>
  </w:style>
  <w:style w:type="character" w:customStyle="1" w:styleId="SubtitleChar">
    <w:name w:val="Subtitle Char"/>
    <w:basedOn w:val="DefaultParagraphFont"/>
    <w:link w:val="Subtitle"/>
    <w:uiPriority w:val="11"/>
    <w:rsid w:val="00970943"/>
    <w:rPr>
      <w:rFonts w:eastAsiaTheme="minorEastAsia"/>
      <w:smallCaps/>
      <w:color w:val="595959" w:themeColor="text1" w:themeTint="A6"/>
      <w:lang w:bidi="en-US"/>
    </w:rPr>
  </w:style>
  <w:style w:type="paragraph" w:styleId="FootnoteText">
    <w:name w:val="footnote text"/>
    <w:basedOn w:val="Normal"/>
    <w:link w:val="FootnoteTextChar"/>
    <w:uiPriority w:val="99"/>
    <w:unhideWhenUsed/>
    <w:rsid w:val="00970943"/>
    <w:pPr>
      <w:spacing w:line="276" w:lineRule="auto"/>
    </w:pPr>
    <w:rPr>
      <w:rFonts w:eastAsiaTheme="minorEastAsia"/>
      <w:lang w:bidi="en-US"/>
    </w:rPr>
  </w:style>
  <w:style w:type="character" w:customStyle="1" w:styleId="FootnoteTextChar">
    <w:name w:val="Footnote Text Char"/>
    <w:basedOn w:val="DefaultParagraphFont"/>
    <w:link w:val="FootnoteText"/>
    <w:uiPriority w:val="99"/>
    <w:rsid w:val="00970943"/>
    <w:rPr>
      <w:rFonts w:eastAsiaTheme="minorEastAsia"/>
      <w:lang w:bidi="en-US"/>
    </w:rPr>
  </w:style>
  <w:style w:type="character" w:styleId="FootnoteReference">
    <w:name w:val="footnote reference"/>
    <w:basedOn w:val="DefaultParagraphFont"/>
    <w:uiPriority w:val="99"/>
    <w:unhideWhenUsed/>
    <w:rsid w:val="00970943"/>
    <w:rPr>
      <w:vertAlign w:val="superscript"/>
    </w:rPr>
  </w:style>
  <w:style w:type="character" w:customStyle="1" w:styleId="normaltextrun">
    <w:name w:val="normaltextrun"/>
    <w:basedOn w:val="DefaultParagraphFont"/>
    <w:rsid w:val="00970943"/>
  </w:style>
  <w:style w:type="character" w:styleId="CommentReference">
    <w:name w:val="annotation reference"/>
    <w:basedOn w:val="DefaultParagraphFont"/>
    <w:uiPriority w:val="99"/>
    <w:semiHidden/>
    <w:unhideWhenUsed/>
    <w:rsid w:val="00970943"/>
    <w:rPr>
      <w:sz w:val="18"/>
      <w:szCs w:val="18"/>
    </w:rPr>
  </w:style>
  <w:style w:type="paragraph" w:styleId="CommentText">
    <w:name w:val="annotation text"/>
    <w:basedOn w:val="Normal"/>
    <w:link w:val="CommentTextChar"/>
    <w:uiPriority w:val="99"/>
    <w:unhideWhenUsed/>
    <w:rsid w:val="00970943"/>
    <w:pPr>
      <w:spacing w:after="120" w:line="276" w:lineRule="auto"/>
    </w:pPr>
    <w:rPr>
      <w:rFonts w:eastAsiaTheme="minorEastAsia"/>
      <w:lang w:bidi="en-US"/>
    </w:rPr>
  </w:style>
  <w:style w:type="character" w:customStyle="1" w:styleId="CommentTextChar">
    <w:name w:val="Comment Text Char"/>
    <w:basedOn w:val="DefaultParagraphFont"/>
    <w:link w:val="CommentText"/>
    <w:uiPriority w:val="99"/>
    <w:rsid w:val="00970943"/>
    <w:rPr>
      <w:rFonts w:eastAsiaTheme="minorEastAsia"/>
      <w:lang w:bidi="en-US"/>
    </w:rPr>
  </w:style>
  <w:style w:type="character" w:styleId="FollowedHyperlink">
    <w:name w:val="FollowedHyperlink"/>
    <w:basedOn w:val="DefaultParagraphFont"/>
    <w:uiPriority w:val="99"/>
    <w:semiHidden/>
    <w:unhideWhenUsed/>
    <w:rsid w:val="005550D4"/>
    <w:rPr>
      <w:color w:val="02615B" w:themeColor="followedHyperlink"/>
      <w:u w:val="single"/>
    </w:rPr>
  </w:style>
  <w:style w:type="paragraph" w:styleId="BalloonText">
    <w:name w:val="Balloon Text"/>
    <w:basedOn w:val="Normal"/>
    <w:link w:val="BalloonTextChar"/>
    <w:uiPriority w:val="99"/>
    <w:semiHidden/>
    <w:unhideWhenUsed/>
    <w:rsid w:val="009E4E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4EB3"/>
    <w:rPr>
      <w:rFonts w:ascii="Segoe UI" w:hAnsi="Segoe UI" w:cs="Segoe UI"/>
      <w:sz w:val="18"/>
      <w:szCs w:val="18"/>
    </w:rPr>
  </w:style>
  <w:style w:type="character" w:customStyle="1" w:styleId="eop">
    <w:name w:val="eop"/>
    <w:basedOn w:val="DefaultParagraphFont"/>
    <w:rsid w:val="00450569"/>
  </w:style>
  <w:style w:type="paragraph" w:customStyle="1" w:styleId="paragraph">
    <w:name w:val="paragraph"/>
    <w:basedOn w:val="Normal"/>
    <w:rsid w:val="00450569"/>
    <w:pPr>
      <w:spacing w:beforeAutospacing="1" w:after="160" w:afterAutospacing="1" w:line="259" w:lineRule="auto"/>
    </w:pPr>
    <w:rPr>
      <w:rFonts w:ascii="Times New Roman" w:eastAsia="Times New Roman" w:hAnsi="Times New Roman" w:cs="Times New Roman"/>
      <w:lang w:eastAsia="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030CDA"/>
    <w:rPr>
      <w:color w:val="12354E" w:themeColor="accent1" w:themeShade="BF"/>
      <w:lang w:val="fr-FR"/>
    </w:rPr>
  </w:style>
  <w:style w:type="table" w:styleId="GridTable1Light-Accent5">
    <w:name w:val="Grid Table 1 Light Accent 5"/>
    <w:basedOn w:val="TableNormal"/>
    <w:uiPriority w:val="46"/>
    <w:rsid w:val="00C45F55"/>
    <w:rPr>
      <w:sz w:val="22"/>
      <w:szCs w:val="22"/>
      <w:lang w:val="en-US"/>
    </w:rPr>
    <w:tblPr>
      <w:tblStyleRowBandSize w:val="1"/>
      <w:tblStyleColBandSize w:val="1"/>
      <w:tblInd w:w="0" w:type="nil"/>
      <w:tblBorders>
        <w:top w:val="single" w:sz="4" w:space="0" w:color="F9CFB0" w:themeColor="accent5" w:themeTint="66"/>
        <w:left w:val="single" w:sz="4" w:space="0" w:color="F9CFB0" w:themeColor="accent5" w:themeTint="66"/>
        <w:bottom w:val="single" w:sz="4" w:space="0" w:color="F9CFB0" w:themeColor="accent5" w:themeTint="66"/>
        <w:right w:val="single" w:sz="4" w:space="0" w:color="F9CFB0" w:themeColor="accent5" w:themeTint="66"/>
        <w:insideH w:val="single" w:sz="4" w:space="0" w:color="F9CFB0" w:themeColor="accent5" w:themeTint="66"/>
        <w:insideV w:val="single" w:sz="4" w:space="0" w:color="F9CFB0" w:themeColor="accent5" w:themeTint="66"/>
      </w:tblBorders>
    </w:tblPr>
    <w:tblStylePr w:type="firstRow">
      <w:rPr>
        <w:b/>
        <w:bCs/>
      </w:rPr>
      <w:tblPr/>
      <w:tcPr>
        <w:tcBorders>
          <w:bottom w:val="single" w:sz="12" w:space="0" w:color="F6B789" w:themeColor="accent5" w:themeTint="99"/>
        </w:tcBorders>
      </w:tcPr>
    </w:tblStylePr>
    <w:tblStylePr w:type="lastRow">
      <w:rPr>
        <w:b/>
        <w:bCs/>
      </w:rPr>
      <w:tblPr/>
      <w:tcPr>
        <w:tcBorders>
          <w:top w:val="double" w:sz="2" w:space="0" w:color="F6B789"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2A0CCF"/>
    <w:rPr>
      <w:sz w:val="22"/>
      <w:szCs w:val="22"/>
      <w:lang w:val="en-US"/>
    </w:rPr>
    <w:tblPr>
      <w:tblStyleRowBandSize w:val="1"/>
      <w:tblStyleColBandSize w:val="1"/>
      <w:tblInd w:w="0" w:type="nil"/>
      <w:tblBorders>
        <w:top w:val="single" w:sz="4" w:space="0" w:color="84BAE1" w:themeColor="accent1" w:themeTint="66"/>
        <w:left w:val="single" w:sz="4" w:space="0" w:color="84BAE1" w:themeColor="accent1" w:themeTint="66"/>
        <w:bottom w:val="single" w:sz="4" w:space="0" w:color="84BAE1" w:themeColor="accent1" w:themeTint="66"/>
        <w:right w:val="single" w:sz="4" w:space="0" w:color="84BAE1" w:themeColor="accent1" w:themeTint="66"/>
        <w:insideH w:val="single" w:sz="4" w:space="0" w:color="84BAE1" w:themeColor="accent1" w:themeTint="66"/>
        <w:insideV w:val="single" w:sz="4" w:space="0" w:color="84BAE1" w:themeColor="accent1" w:themeTint="66"/>
      </w:tblBorders>
    </w:tblPr>
    <w:tblStylePr w:type="firstRow">
      <w:rPr>
        <w:b/>
        <w:bCs/>
      </w:rPr>
      <w:tblPr/>
      <w:tcPr>
        <w:tcBorders>
          <w:bottom w:val="single" w:sz="12" w:space="0" w:color="4698D3" w:themeColor="accent1" w:themeTint="99"/>
        </w:tcBorders>
      </w:tcPr>
    </w:tblStylePr>
    <w:tblStylePr w:type="lastRow">
      <w:rPr>
        <w:b/>
        <w:bCs/>
      </w:rPr>
      <w:tblPr/>
      <w:tcPr>
        <w:tcBorders>
          <w:top w:val="double" w:sz="2" w:space="0" w:color="4698D3" w:themeColor="accent1" w:themeTint="99"/>
        </w:tcBorders>
      </w:tcPr>
    </w:tblStylePr>
    <w:tblStylePr w:type="firstCol">
      <w:rPr>
        <w:b/>
        <w:bCs/>
      </w:rPr>
    </w:tblStylePr>
    <w:tblStylePr w:type="lastCol">
      <w:rPr>
        <w:b/>
        <w:bCs/>
      </w:rPr>
    </w:tblStylePr>
  </w:style>
  <w:style w:type="character" w:customStyle="1" w:styleId="Heading4Char">
    <w:name w:val="Heading 4 Char"/>
    <w:basedOn w:val="DefaultParagraphFont"/>
    <w:link w:val="Heading4"/>
    <w:uiPriority w:val="9"/>
    <w:semiHidden/>
    <w:rsid w:val="00357599"/>
    <w:rPr>
      <w:rFonts w:asciiTheme="majorHAnsi" w:eastAsiaTheme="majorEastAsia" w:hAnsiTheme="majorHAnsi" w:cstheme="majorBidi"/>
      <w:i/>
      <w:iCs/>
      <w:color w:val="12354E" w:themeColor="accent1" w:themeShade="BF"/>
    </w:rPr>
  </w:style>
  <w:style w:type="paragraph" w:styleId="Caption">
    <w:name w:val="caption"/>
    <w:basedOn w:val="Normal"/>
    <w:next w:val="Normal"/>
    <w:uiPriority w:val="35"/>
    <w:unhideWhenUsed/>
    <w:qFormat/>
    <w:rsid w:val="00342022"/>
    <w:pPr>
      <w:spacing w:after="200"/>
    </w:pPr>
    <w:rPr>
      <w:i/>
      <w:iCs/>
      <w:color w:val="44546A" w:themeColor="text2"/>
      <w:sz w:val="18"/>
      <w:szCs w:val="18"/>
      <w:lang w:val="en-US"/>
    </w:rPr>
  </w:style>
  <w:style w:type="paragraph" w:customStyle="1" w:styleId="Heading11">
    <w:name w:val="Heading 11"/>
    <w:basedOn w:val="Heading1"/>
    <w:qFormat/>
    <w:rsid w:val="00A12779"/>
    <w:pPr>
      <w:keepNext/>
      <w:spacing w:before="60" w:after="60"/>
      <w:ind w:left="360" w:hanging="360"/>
    </w:pPr>
    <w:rPr>
      <w:rFonts w:eastAsia="Times New Roman" w:cstheme="minorHAnsi"/>
      <w:b w:val="0"/>
      <w:color w:val="00B0F0"/>
      <w:kern w:val="32"/>
      <w:sz w:val="36"/>
      <w:szCs w:val="36"/>
      <w:lang w:val="en-US"/>
    </w:rPr>
  </w:style>
  <w:style w:type="character" w:customStyle="1" w:styleId="Heading3Char">
    <w:name w:val="Heading 3 Char"/>
    <w:basedOn w:val="DefaultParagraphFont"/>
    <w:link w:val="Heading3"/>
    <w:uiPriority w:val="9"/>
    <w:semiHidden/>
    <w:rsid w:val="00A12779"/>
    <w:rPr>
      <w:rFonts w:asciiTheme="majorHAnsi" w:eastAsiaTheme="majorEastAsia" w:hAnsiTheme="majorHAnsi" w:cstheme="majorBidi"/>
      <w:color w:val="0C2334" w:themeColor="accent1" w:themeShade="7F"/>
    </w:rPr>
  </w:style>
  <w:style w:type="character" w:styleId="UnresolvedMention">
    <w:name w:val="Unresolved Mention"/>
    <w:basedOn w:val="DefaultParagraphFont"/>
    <w:uiPriority w:val="99"/>
    <w:semiHidden/>
    <w:unhideWhenUsed/>
    <w:rsid w:val="00B648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17912">
      <w:bodyDiv w:val="1"/>
      <w:marLeft w:val="0"/>
      <w:marRight w:val="0"/>
      <w:marTop w:val="0"/>
      <w:marBottom w:val="0"/>
      <w:divBdr>
        <w:top w:val="none" w:sz="0" w:space="0" w:color="auto"/>
        <w:left w:val="none" w:sz="0" w:space="0" w:color="auto"/>
        <w:bottom w:val="none" w:sz="0" w:space="0" w:color="auto"/>
        <w:right w:val="none" w:sz="0" w:space="0" w:color="auto"/>
      </w:divBdr>
    </w:div>
    <w:div w:id="162206504">
      <w:bodyDiv w:val="1"/>
      <w:marLeft w:val="0"/>
      <w:marRight w:val="0"/>
      <w:marTop w:val="0"/>
      <w:marBottom w:val="0"/>
      <w:divBdr>
        <w:top w:val="none" w:sz="0" w:space="0" w:color="auto"/>
        <w:left w:val="none" w:sz="0" w:space="0" w:color="auto"/>
        <w:bottom w:val="none" w:sz="0" w:space="0" w:color="auto"/>
        <w:right w:val="none" w:sz="0" w:space="0" w:color="auto"/>
      </w:divBdr>
    </w:div>
    <w:div w:id="194857702">
      <w:bodyDiv w:val="1"/>
      <w:marLeft w:val="0"/>
      <w:marRight w:val="0"/>
      <w:marTop w:val="0"/>
      <w:marBottom w:val="0"/>
      <w:divBdr>
        <w:top w:val="none" w:sz="0" w:space="0" w:color="auto"/>
        <w:left w:val="none" w:sz="0" w:space="0" w:color="auto"/>
        <w:bottom w:val="none" w:sz="0" w:space="0" w:color="auto"/>
        <w:right w:val="none" w:sz="0" w:space="0" w:color="auto"/>
      </w:divBdr>
    </w:div>
    <w:div w:id="211235028">
      <w:bodyDiv w:val="1"/>
      <w:marLeft w:val="0"/>
      <w:marRight w:val="0"/>
      <w:marTop w:val="0"/>
      <w:marBottom w:val="0"/>
      <w:divBdr>
        <w:top w:val="none" w:sz="0" w:space="0" w:color="auto"/>
        <w:left w:val="none" w:sz="0" w:space="0" w:color="auto"/>
        <w:bottom w:val="none" w:sz="0" w:space="0" w:color="auto"/>
        <w:right w:val="none" w:sz="0" w:space="0" w:color="auto"/>
      </w:divBdr>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274530895">
      <w:bodyDiv w:val="1"/>
      <w:marLeft w:val="0"/>
      <w:marRight w:val="0"/>
      <w:marTop w:val="0"/>
      <w:marBottom w:val="0"/>
      <w:divBdr>
        <w:top w:val="none" w:sz="0" w:space="0" w:color="auto"/>
        <w:left w:val="none" w:sz="0" w:space="0" w:color="auto"/>
        <w:bottom w:val="none" w:sz="0" w:space="0" w:color="auto"/>
        <w:right w:val="none" w:sz="0" w:space="0" w:color="auto"/>
      </w:divBdr>
    </w:div>
    <w:div w:id="309334308">
      <w:bodyDiv w:val="1"/>
      <w:marLeft w:val="0"/>
      <w:marRight w:val="0"/>
      <w:marTop w:val="0"/>
      <w:marBottom w:val="0"/>
      <w:divBdr>
        <w:top w:val="none" w:sz="0" w:space="0" w:color="auto"/>
        <w:left w:val="none" w:sz="0" w:space="0" w:color="auto"/>
        <w:bottom w:val="none" w:sz="0" w:space="0" w:color="auto"/>
        <w:right w:val="none" w:sz="0" w:space="0" w:color="auto"/>
      </w:divBdr>
    </w:div>
    <w:div w:id="417679839">
      <w:bodyDiv w:val="1"/>
      <w:marLeft w:val="0"/>
      <w:marRight w:val="0"/>
      <w:marTop w:val="0"/>
      <w:marBottom w:val="0"/>
      <w:divBdr>
        <w:top w:val="none" w:sz="0" w:space="0" w:color="auto"/>
        <w:left w:val="none" w:sz="0" w:space="0" w:color="auto"/>
        <w:bottom w:val="none" w:sz="0" w:space="0" w:color="auto"/>
        <w:right w:val="none" w:sz="0" w:space="0" w:color="auto"/>
      </w:divBdr>
    </w:div>
    <w:div w:id="437717297">
      <w:bodyDiv w:val="1"/>
      <w:marLeft w:val="0"/>
      <w:marRight w:val="0"/>
      <w:marTop w:val="0"/>
      <w:marBottom w:val="0"/>
      <w:divBdr>
        <w:top w:val="none" w:sz="0" w:space="0" w:color="auto"/>
        <w:left w:val="none" w:sz="0" w:space="0" w:color="auto"/>
        <w:bottom w:val="none" w:sz="0" w:space="0" w:color="auto"/>
        <w:right w:val="none" w:sz="0" w:space="0" w:color="auto"/>
      </w:divBdr>
    </w:div>
    <w:div w:id="510876281">
      <w:bodyDiv w:val="1"/>
      <w:marLeft w:val="0"/>
      <w:marRight w:val="0"/>
      <w:marTop w:val="0"/>
      <w:marBottom w:val="0"/>
      <w:divBdr>
        <w:top w:val="none" w:sz="0" w:space="0" w:color="auto"/>
        <w:left w:val="none" w:sz="0" w:space="0" w:color="auto"/>
        <w:bottom w:val="none" w:sz="0" w:space="0" w:color="auto"/>
        <w:right w:val="none" w:sz="0" w:space="0" w:color="auto"/>
      </w:divBdr>
    </w:div>
    <w:div w:id="571938279">
      <w:bodyDiv w:val="1"/>
      <w:marLeft w:val="0"/>
      <w:marRight w:val="0"/>
      <w:marTop w:val="0"/>
      <w:marBottom w:val="0"/>
      <w:divBdr>
        <w:top w:val="none" w:sz="0" w:space="0" w:color="auto"/>
        <w:left w:val="none" w:sz="0" w:space="0" w:color="auto"/>
        <w:bottom w:val="none" w:sz="0" w:space="0" w:color="auto"/>
        <w:right w:val="none" w:sz="0" w:space="0" w:color="auto"/>
      </w:divBdr>
    </w:div>
    <w:div w:id="648365695">
      <w:bodyDiv w:val="1"/>
      <w:marLeft w:val="0"/>
      <w:marRight w:val="0"/>
      <w:marTop w:val="0"/>
      <w:marBottom w:val="0"/>
      <w:divBdr>
        <w:top w:val="none" w:sz="0" w:space="0" w:color="auto"/>
        <w:left w:val="none" w:sz="0" w:space="0" w:color="auto"/>
        <w:bottom w:val="none" w:sz="0" w:space="0" w:color="auto"/>
        <w:right w:val="none" w:sz="0" w:space="0" w:color="auto"/>
      </w:divBdr>
    </w:div>
    <w:div w:id="661393597">
      <w:bodyDiv w:val="1"/>
      <w:marLeft w:val="0"/>
      <w:marRight w:val="0"/>
      <w:marTop w:val="0"/>
      <w:marBottom w:val="0"/>
      <w:divBdr>
        <w:top w:val="none" w:sz="0" w:space="0" w:color="auto"/>
        <w:left w:val="none" w:sz="0" w:space="0" w:color="auto"/>
        <w:bottom w:val="none" w:sz="0" w:space="0" w:color="auto"/>
        <w:right w:val="none" w:sz="0" w:space="0" w:color="auto"/>
      </w:divBdr>
    </w:div>
    <w:div w:id="708795648">
      <w:bodyDiv w:val="1"/>
      <w:marLeft w:val="0"/>
      <w:marRight w:val="0"/>
      <w:marTop w:val="0"/>
      <w:marBottom w:val="0"/>
      <w:divBdr>
        <w:top w:val="none" w:sz="0" w:space="0" w:color="auto"/>
        <w:left w:val="none" w:sz="0" w:space="0" w:color="auto"/>
        <w:bottom w:val="none" w:sz="0" w:space="0" w:color="auto"/>
        <w:right w:val="none" w:sz="0" w:space="0" w:color="auto"/>
      </w:divBdr>
    </w:div>
    <w:div w:id="709114687">
      <w:bodyDiv w:val="1"/>
      <w:marLeft w:val="0"/>
      <w:marRight w:val="0"/>
      <w:marTop w:val="0"/>
      <w:marBottom w:val="0"/>
      <w:divBdr>
        <w:top w:val="none" w:sz="0" w:space="0" w:color="auto"/>
        <w:left w:val="none" w:sz="0" w:space="0" w:color="auto"/>
        <w:bottom w:val="none" w:sz="0" w:space="0" w:color="auto"/>
        <w:right w:val="none" w:sz="0" w:space="0" w:color="auto"/>
      </w:divBdr>
    </w:div>
    <w:div w:id="763841471">
      <w:bodyDiv w:val="1"/>
      <w:marLeft w:val="0"/>
      <w:marRight w:val="0"/>
      <w:marTop w:val="0"/>
      <w:marBottom w:val="0"/>
      <w:divBdr>
        <w:top w:val="none" w:sz="0" w:space="0" w:color="auto"/>
        <w:left w:val="none" w:sz="0" w:space="0" w:color="auto"/>
        <w:bottom w:val="none" w:sz="0" w:space="0" w:color="auto"/>
        <w:right w:val="none" w:sz="0" w:space="0" w:color="auto"/>
      </w:divBdr>
    </w:div>
    <w:div w:id="778063957">
      <w:bodyDiv w:val="1"/>
      <w:marLeft w:val="0"/>
      <w:marRight w:val="0"/>
      <w:marTop w:val="0"/>
      <w:marBottom w:val="0"/>
      <w:divBdr>
        <w:top w:val="none" w:sz="0" w:space="0" w:color="auto"/>
        <w:left w:val="none" w:sz="0" w:space="0" w:color="auto"/>
        <w:bottom w:val="none" w:sz="0" w:space="0" w:color="auto"/>
        <w:right w:val="none" w:sz="0" w:space="0" w:color="auto"/>
      </w:divBdr>
    </w:div>
    <w:div w:id="961959315">
      <w:bodyDiv w:val="1"/>
      <w:marLeft w:val="0"/>
      <w:marRight w:val="0"/>
      <w:marTop w:val="0"/>
      <w:marBottom w:val="0"/>
      <w:divBdr>
        <w:top w:val="none" w:sz="0" w:space="0" w:color="auto"/>
        <w:left w:val="none" w:sz="0" w:space="0" w:color="auto"/>
        <w:bottom w:val="none" w:sz="0" w:space="0" w:color="auto"/>
        <w:right w:val="none" w:sz="0" w:space="0" w:color="auto"/>
      </w:divBdr>
    </w:div>
    <w:div w:id="1001618154">
      <w:bodyDiv w:val="1"/>
      <w:marLeft w:val="0"/>
      <w:marRight w:val="0"/>
      <w:marTop w:val="0"/>
      <w:marBottom w:val="0"/>
      <w:divBdr>
        <w:top w:val="none" w:sz="0" w:space="0" w:color="auto"/>
        <w:left w:val="none" w:sz="0" w:space="0" w:color="auto"/>
        <w:bottom w:val="none" w:sz="0" w:space="0" w:color="auto"/>
        <w:right w:val="none" w:sz="0" w:space="0" w:color="auto"/>
      </w:divBdr>
    </w:div>
    <w:div w:id="1012994178">
      <w:bodyDiv w:val="1"/>
      <w:marLeft w:val="0"/>
      <w:marRight w:val="0"/>
      <w:marTop w:val="0"/>
      <w:marBottom w:val="0"/>
      <w:divBdr>
        <w:top w:val="none" w:sz="0" w:space="0" w:color="auto"/>
        <w:left w:val="none" w:sz="0" w:space="0" w:color="auto"/>
        <w:bottom w:val="none" w:sz="0" w:space="0" w:color="auto"/>
        <w:right w:val="none" w:sz="0" w:space="0" w:color="auto"/>
      </w:divBdr>
    </w:div>
    <w:div w:id="1072655030">
      <w:bodyDiv w:val="1"/>
      <w:marLeft w:val="0"/>
      <w:marRight w:val="0"/>
      <w:marTop w:val="0"/>
      <w:marBottom w:val="0"/>
      <w:divBdr>
        <w:top w:val="none" w:sz="0" w:space="0" w:color="auto"/>
        <w:left w:val="none" w:sz="0" w:space="0" w:color="auto"/>
        <w:bottom w:val="none" w:sz="0" w:space="0" w:color="auto"/>
        <w:right w:val="none" w:sz="0" w:space="0" w:color="auto"/>
      </w:divBdr>
    </w:div>
    <w:div w:id="1281955215">
      <w:bodyDiv w:val="1"/>
      <w:marLeft w:val="0"/>
      <w:marRight w:val="0"/>
      <w:marTop w:val="0"/>
      <w:marBottom w:val="0"/>
      <w:divBdr>
        <w:top w:val="none" w:sz="0" w:space="0" w:color="auto"/>
        <w:left w:val="none" w:sz="0" w:space="0" w:color="auto"/>
        <w:bottom w:val="none" w:sz="0" w:space="0" w:color="auto"/>
        <w:right w:val="none" w:sz="0" w:space="0" w:color="auto"/>
      </w:divBdr>
    </w:div>
    <w:div w:id="1305964742">
      <w:bodyDiv w:val="1"/>
      <w:marLeft w:val="0"/>
      <w:marRight w:val="0"/>
      <w:marTop w:val="0"/>
      <w:marBottom w:val="0"/>
      <w:divBdr>
        <w:top w:val="none" w:sz="0" w:space="0" w:color="auto"/>
        <w:left w:val="none" w:sz="0" w:space="0" w:color="auto"/>
        <w:bottom w:val="none" w:sz="0" w:space="0" w:color="auto"/>
        <w:right w:val="none" w:sz="0" w:space="0" w:color="auto"/>
      </w:divBdr>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1528249108">
      <w:bodyDiv w:val="1"/>
      <w:marLeft w:val="0"/>
      <w:marRight w:val="0"/>
      <w:marTop w:val="0"/>
      <w:marBottom w:val="0"/>
      <w:divBdr>
        <w:top w:val="none" w:sz="0" w:space="0" w:color="auto"/>
        <w:left w:val="none" w:sz="0" w:space="0" w:color="auto"/>
        <w:bottom w:val="none" w:sz="0" w:space="0" w:color="auto"/>
        <w:right w:val="none" w:sz="0" w:space="0" w:color="auto"/>
      </w:divBdr>
    </w:div>
    <w:div w:id="1547718268">
      <w:bodyDiv w:val="1"/>
      <w:marLeft w:val="0"/>
      <w:marRight w:val="0"/>
      <w:marTop w:val="0"/>
      <w:marBottom w:val="0"/>
      <w:divBdr>
        <w:top w:val="none" w:sz="0" w:space="0" w:color="auto"/>
        <w:left w:val="none" w:sz="0" w:space="0" w:color="auto"/>
        <w:bottom w:val="none" w:sz="0" w:space="0" w:color="auto"/>
        <w:right w:val="none" w:sz="0" w:space="0" w:color="auto"/>
      </w:divBdr>
    </w:div>
    <w:div w:id="1615870308">
      <w:bodyDiv w:val="1"/>
      <w:marLeft w:val="0"/>
      <w:marRight w:val="0"/>
      <w:marTop w:val="0"/>
      <w:marBottom w:val="0"/>
      <w:divBdr>
        <w:top w:val="none" w:sz="0" w:space="0" w:color="auto"/>
        <w:left w:val="none" w:sz="0" w:space="0" w:color="auto"/>
        <w:bottom w:val="none" w:sz="0" w:space="0" w:color="auto"/>
        <w:right w:val="none" w:sz="0" w:space="0" w:color="auto"/>
      </w:divBdr>
    </w:div>
    <w:div w:id="1654484596">
      <w:bodyDiv w:val="1"/>
      <w:marLeft w:val="0"/>
      <w:marRight w:val="0"/>
      <w:marTop w:val="0"/>
      <w:marBottom w:val="0"/>
      <w:divBdr>
        <w:top w:val="none" w:sz="0" w:space="0" w:color="auto"/>
        <w:left w:val="none" w:sz="0" w:space="0" w:color="auto"/>
        <w:bottom w:val="none" w:sz="0" w:space="0" w:color="auto"/>
        <w:right w:val="none" w:sz="0" w:space="0" w:color="auto"/>
      </w:divBdr>
    </w:div>
    <w:div w:id="1782844272">
      <w:bodyDiv w:val="1"/>
      <w:marLeft w:val="0"/>
      <w:marRight w:val="0"/>
      <w:marTop w:val="0"/>
      <w:marBottom w:val="0"/>
      <w:divBdr>
        <w:top w:val="none" w:sz="0" w:space="0" w:color="auto"/>
        <w:left w:val="none" w:sz="0" w:space="0" w:color="auto"/>
        <w:bottom w:val="none" w:sz="0" w:space="0" w:color="auto"/>
        <w:right w:val="none" w:sz="0" w:space="0" w:color="auto"/>
      </w:divBdr>
    </w:div>
    <w:div w:id="1906262340">
      <w:bodyDiv w:val="1"/>
      <w:marLeft w:val="0"/>
      <w:marRight w:val="0"/>
      <w:marTop w:val="0"/>
      <w:marBottom w:val="0"/>
      <w:divBdr>
        <w:top w:val="none" w:sz="0" w:space="0" w:color="auto"/>
        <w:left w:val="none" w:sz="0" w:space="0" w:color="auto"/>
        <w:bottom w:val="none" w:sz="0" w:space="0" w:color="auto"/>
        <w:right w:val="none" w:sz="0" w:space="0" w:color="auto"/>
      </w:divBdr>
    </w:div>
    <w:div w:id="1935556496">
      <w:bodyDiv w:val="1"/>
      <w:marLeft w:val="0"/>
      <w:marRight w:val="0"/>
      <w:marTop w:val="0"/>
      <w:marBottom w:val="0"/>
      <w:divBdr>
        <w:top w:val="none" w:sz="0" w:space="0" w:color="auto"/>
        <w:left w:val="none" w:sz="0" w:space="0" w:color="auto"/>
        <w:bottom w:val="none" w:sz="0" w:space="0" w:color="auto"/>
        <w:right w:val="none" w:sz="0" w:space="0" w:color="auto"/>
      </w:divBdr>
    </w:div>
    <w:div w:id="2000234274">
      <w:bodyDiv w:val="1"/>
      <w:marLeft w:val="0"/>
      <w:marRight w:val="0"/>
      <w:marTop w:val="0"/>
      <w:marBottom w:val="0"/>
      <w:divBdr>
        <w:top w:val="none" w:sz="0" w:space="0" w:color="auto"/>
        <w:left w:val="none" w:sz="0" w:space="0" w:color="auto"/>
        <w:bottom w:val="none" w:sz="0" w:space="0" w:color="auto"/>
        <w:right w:val="none" w:sz="0" w:space="0" w:color="auto"/>
      </w:divBdr>
    </w:div>
    <w:div w:id="2052222558">
      <w:bodyDiv w:val="1"/>
      <w:marLeft w:val="0"/>
      <w:marRight w:val="0"/>
      <w:marTop w:val="0"/>
      <w:marBottom w:val="0"/>
      <w:divBdr>
        <w:top w:val="none" w:sz="0" w:space="0" w:color="auto"/>
        <w:left w:val="none" w:sz="0" w:space="0" w:color="auto"/>
        <w:bottom w:val="none" w:sz="0" w:space="0" w:color="auto"/>
        <w:right w:val="none" w:sz="0" w:space="0" w:color="auto"/>
      </w:divBdr>
    </w:div>
    <w:div w:id="2108186423">
      <w:bodyDiv w:val="1"/>
      <w:marLeft w:val="0"/>
      <w:marRight w:val="0"/>
      <w:marTop w:val="0"/>
      <w:marBottom w:val="0"/>
      <w:divBdr>
        <w:top w:val="none" w:sz="0" w:space="0" w:color="auto"/>
        <w:left w:val="none" w:sz="0" w:space="0" w:color="auto"/>
        <w:bottom w:val="none" w:sz="0" w:space="0" w:color="auto"/>
        <w:right w:val="none" w:sz="0" w:space="0" w:color="auto"/>
      </w:divBdr>
    </w:div>
    <w:div w:id="2109694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300"/>
</w:webSettings>
</file>

<file path=word/_rels/document.xml.rels><?xml version="1.0" encoding="UTF-8" standalone="yes"?>
<Relationships xmlns="http://schemas.openxmlformats.org/package/2006/relationships"><Relationship Id="rId13" Type="http://schemas.openxmlformats.org/officeDocument/2006/relationships/hyperlink" Target="https://www.gwp.org/en/sdg6support/" TargetMode="External"/><Relationship Id="rId18" Type="http://schemas.openxmlformats.org/officeDocument/2006/relationships/hyperlink" Target="https://www.gwp.org/en/partner/existing-partners/Partner-Search/" TargetMode="External"/><Relationship Id="rId26" Type="http://schemas.openxmlformats.org/officeDocument/2006/relationships/hyperlink" Target="https://unstats.un.org/sdgs/dataContacts/" TargetMode="External"/><Relationship Id="rId39" Type="http://schemas.openxmlformats.org/officeDocument/2006/relationships/diagramQuickStyle" Target="diagrams/quickStyle2.xml"/><Relationship Id="rId21" Type="http://schemas.openxmlformats.org/officeDocument/2006/relationships/hyperlink" Target="https://cap-net.org/the-network/" TargetMode="External"/><Relationship Id="rId34" Type="http://schemas.openxmlformats.org/officeDocument/2006/relationships/hyperlink" Target="http://iwrmdataportal.unepdhi.org/reportingmaterials" TargetMode="External"/><Relationship Id="rId42" Type="http://schemas.openxmlformats.org/officeDocument/2006/relationships/diagramData" Target="diagrams/data3.xml"/><Relationship Id="rId47" Type="http://schemas.openxmlformats.org/officeDocument/2006/relationships/hyperlink" Target="http://iwrmdataportal.unepdhi.org/reportingmaterials" TargetMode="External"/><Relationship Id="rId50" Type="http://schemas.openxmlformats.org/officeDocument/2006/relationships/hyperlink" Target="http://iwrmdataportal.unepdhi.org/reportingmaterials" TargetMode="External"/><Relationship Id="rId55" Type="http://schemas.openxmlformats.org/officeDocument/2006/relationships/hyperlink" Target="http://iwrmdataportal.unepdhi.org/reportingmaterials" TargetMode="External"/><Relationship Id="rId63"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iwrmdataportal.unepdhi.org/reportingmaterials" TargetMode="External"/><Relationship Id="rId29" Type="http://schemas.openxmlformats.org/officeDocument/2006/relationships/diagramQuickStyle" Target="diagrams/quickStyle1.xml"/><Relationship Id="rId11" Type="http://schemas.openxmlformats.org/officeDocument/2006/relationships/image" Target="media/image1.png"/><Relationship Id="rId24" Type="http://schemas.openxmlformats.org/officeDocument/2006/relationships/hyperlink" Target="https://www.unwater.org/our-work/integrated-monitoring-initiative-sdg-6" TargetMode="External"/><Relationship Id="rId32" Type="http://schemas.openxmlformats.org/officeDocument/2006/relationships/hyperlink" Target="http://iwrmdataportal.unepdhi.org/reportingmaterials" TargetMode="External"/><Relationship Id="rId37" Type="http://schemas.openxmlformats.org/officeDocument/2006/relationships/diagramData" Target="diagrams/data2.xml"/><Relationship Id="rId40" Type="http://schemas.openxmlformats.org/officeDocument/2006/relationships/diagramColors" Target="diagrams/colors2.xml"/><Relationship Id="rId45" Type="http://schemas.openxmlformats.org/officeDocument/2006/relationships/diagramColors" Target="diagrams/colors3.xml"/><Relationship Id="rId53" Type="http://schemas.openxmlformats.org/officeDocument/2006/relationships/hyperlink" Target="http://iwrmdataportal.unepdhi.org/reportingmaterials" TargetMode="External"/><Relationship Id="rId58" Type="http://schemas.openxmlformats.org/officeDocument/2006/relationships/hyperlink" Target="http://iwrmdataportal.unepdhi.org/reportingmaterials" TargetMode="External"/><Relationship Id="rId5" Type="http://schemas.openxmlformats.org/officeDocument/2006/relationships/numbering" Target="numbering.xml"/><Relationship Id="rId61" Type="http://schemas.openxmlformats.org/officeDocument/2006/relationships/header" Target="header1.xml"/><Relationship Id="rId19" Type="http://schemas.openxmlformats.org/officeDocument/2006/relationships/hyperlink" Target="https://www.gwp.org/en/partner/existing-partners/Partner-Search/" TargetMode="External"/><Relationship Id="rId14" Type="http://schemas.openxmlformats.org/officeDocument/2006/relationships/hyperlink" Target="mailto:sdg6iwrmsp@gwp.org" TargetMode="External"/><Relationship Id="rId22" Type="http://schemas.openxmlformats.org/officeDocument/2006/relationships/hyperlink" Target="mailto:iwrmsdg651@un.org" TargetMode="External"/><Relationship Id="rId27" Type="http://schemas.openxmlformats.org/officeDocument/2006/relationships/diagramData" Target="diagrams/data1.xml"/><Relationship Id="rId30" Type="http://schemas.openxmlformats.org/officeDocument/2006/relationships/diagramColors" Target="diagrams/colors1.xml"/><Relationship Id="rId35" Type="http://schemas.openxmlformats.org/officeDocument/2006/relationships/hyperlink" Target="http://iwrmdataportal.unepdhi.org/country-reports" TargetMode="External"/><Relationship Id="rId43" Type="http://schemas.openxmlformats.org/officeDocument/2006/relationships/diagramLayout" Target="diagrams/layout3.xml"/><Relationship Id="rId48" Type="http://schemas.openxmlformats.org/officeDocument/2006/relationships/hyperlink" Target="http://iwrmdataportal.unepdhi.org/reportingmaterials" TargetMode="External"/><Relationship Id="rId56" Type="http://schemas.openxmlformats.org/officeDocument/2006/relationships/hyperlink" Target="http://iwrmdataportal.unepdhi.org/reportingmaterials" TargetMode="External"/><Relationship Id="rId64"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yperlink" Target="http://iwrmdataportal.unepdhi.org/reportingmaterials" TargetMode="External"/><Relationship Id="rId3" Type="http://schemas.openxmlformats.org/officeDocument/2006/relationships/customXml" Target="../customXml/item3.xml"/><Relationship Id="rId12" Type="http://schemas.openxmlformats.org/officeDocument/2006/relationships/hyperlink" Target="http://iwrmdataportal.unepdhi.org/reportingmaterials" TargetMode="External"/><Relationship Id="rId17" Type="http://schemas.openxmlformats.org/officeDocument/2006/relationships/hyperlink" Target="https://unsdg.un.org/un-in-action/country-level?tab=countries-listing" TargetMode="External"/><Relationship Id="rId25" Type="http://schemas.openxmlformats.org/officeDocument/2006/relationships/hyperlink" Target="https://www.unwater.org/publications/water-and-sanitation-interlinkages-across-2030-agenda-sustainable-development" TargetMode="External"/><Relationship Id="rId33" Type="http://schemas.openxmlformats.org/officeDocument/2006/relationships/hyperlink" Target="https://cap-net.org/sdg-6-iwrm-support-program/" TargetMode="External"/><Relationship Id="rId38" Type="http://schemas.openxmlformats.org/officeDocument/2006/relationships/diagramLayout" Target="diagrams/layout2.xml"/><Relationship Id="rId46" Type="http://schemas.microsoft.com/office/2007/relationships/diagramDrawing" Target="diagrams/drawing3.xml"/><Relationship Id="rId59" Type="http://schemas.openxmlformats.org/officeDocument/2006/relationships/hyperlink" Target="http://iwrmdataportal.unepdhi.org/reportingmaterials" TargetMode="External"/><Relationship Id="rId20" Type="http://schemas.openxmlformats.org/officeDocument/2006/relationships/hyperlink" Target="https://cap-net.org/partners/" TargetMode="External"/><Relationship Id="rId41" Type="http://schemas.microsoft.com/office/2007/relationships/diagramDrawing" Target="diagrams/drawing2.xml"/><Relationship Id="rId54" Type="http://schemas.openxmlformats.org/officeDocument/2006/relationships/hyperlink" Target="mailto:sdg6iwrmsp@gwp.org" TargetMode="External"/><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mailto:iwrmsdg651@un.org" TargetMode="External"/><Relationship Id="rId23" Type="http://schemas.openxmlformats.org/officeDocument/2006/relationships/hyperlink" Target="http://iwrmdataportal.unepdhi.org/reportingmaterials" TargetMode="External"/><Relationship Id="rId28" Type="http://schemas.openxmlformats.org/officeDocument/2006/relationships/diagramLayout" Target="diagrams/layout1.xml"/><Relationship Id="rId36" Type="http://schemas.openxmlformats.org/officeDocument/2006/relationships/hyperlink" Target="https://www.gwp.org/en/sdg6support/sdgmap/?location=&amp;region=&amp;country=&amp;stage=1&amp;progress=0" TargetMode="External"/><Relationship Id="rId49" Type="http://schemas.openxmlformats.org/officeDocument/2006/relationships/hyperlink" Target="https://www.liberatingstructures.com/" TargetMode="External"/><Relationship Id="rId57" Type="http://schemas.openxmlformats.org/officeDocument/2006/relationships/hyperlink" Target="http://iwrmdataportal.unepdhi.org/reportingmaterials" TargetMode="External"/><Relationship Id="rId10" Type="http://schemas.openxmlformats.org/officeDocument/2006/relationships/endnotes" Target="endnotes.xml"/><Relationship Id="rId31" Type="http://schemas.microsoft.com/office/2007/relationships/diagramDrawing" Target="diagrams/drawing1.xml"/><Relationship Id="rId44" Type="http://schemas.openxmlformats.org/officeDocument/2006/relationships/diagramQuickStyle" Target="diagrams/quickStyle3.xml"/><Relationship Id="rId52" Type="http://schemas.openxmlformats.org/officeDocument/2006/relationships/hyperlink" Target="http://iwrmdataportal.unepdhi.org/reportingmaterials" TargetMode="External"/><Relationship Id="rId60" Type="http://schemas.openxmlformats.org/officeDocument/2006/relationships/hyperlink" Target="http://iwrmdataportal.unepdhi.org/reportingmaterials" TargetMode="External"/><Relationship Id="rId4" Type="http://schemas.openxmlformats.org/officeDocument/2006/relationships/customXml" Target="../customXml/item4.xml"/><Relationship Id="rId9" Type="http://schemas.openxmlformats.org/officeDocument/2006/relationships/footnotes" Target="footnotes.xml"/></Relationships>
</file>

<file path=word/_rels/footnotes.xml.rels><?xml version="1.0" encoding="UTF-8" standalone="yes"?>
<Relationships xmlns="http://schemas.openxmlformats.org/package/2006/relationships"><Relationship Id="rId3" Type="http://schemas.openxmlformats.org/officeDocument/2006/relationships/hyperlink" Target="https://www.gwp.org/en/sdg6support/MSPs/" TargetMode="External"/><Relationship Id="rId2" Type="http://schemas.openxmlformats.org/officeDocument/2006/relationships/hyperlink" Target="https://www.gwp.org/en/sdg6support/MSPs/" TargetMode="External"/><Relationship Id="rId1" Type="http://schemas.openxmlformats.org/officeDocument/2006/relationships/hyperlink" Target="https://www.gwp.org/en/sdg6support/MSP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5ABB97B-95A6-4269-AB4A-6E2BB4182A1E}" type="doc">
      <dgm:prSet loTypeId="urn:microsoft.com/office/officeart/2005/8/layout/chevron1" loCatId="process" qsTypeId="urn:microsoft.com/office/officeart/2005/8/quickstyle/simple5" qsCatId="simple" csTypeId="urn:microsoft.com/office/officeart/2005/8/colors/colorful5" csCatId="colorful" phldr="1"/>
      <dgm:spPr/>
    </dgm:pt>
    <dgm:pt modelId="{FAFDD208-6573-4E6B-A790-B716EDA5E2B0}">
      <dgm:prSet phldrT="[Text]"/>
      <dgm:spPr>
        <a:xfrm>
          <a:off x="2643" y="350367"/>
          <a:ext cx="1539046" cy="615618"/>
        </a:xfrm>
        <a:solidFill>
          <a:schemeClr val="accent1"/>
        </a:solidFill>
        <a:ln>
          <a:noFill/>
        </a:ln>
        <a:effectLst>
          <a:outerShdw blurRad="57150" dist="19050" dir="5400000" algn="ctr" rotWithShape="0">
            <a:srgbClr val="000000">
              <a:alpha val="63000"/>
            </a:srgbClr>
          </a:outerShdw>
        </a:effectLst>
      </dgm:spPr>
      <dgm:t>
        <a:bodyPr/>
        <a:lstStyle/>
        <a:p>
          <a:r>
            <a:rPr lang="en-US">
              <a:solidFill>
                <a:sysClr val="window" lastClr="FFFFFF"/>
              </a:solidFill>
              <a:latin typeface="Calibri" panose="020F0502020204030204"/>
              <a:ea typeface="+mn-ea"/>
              <a:cs typeface="+mn-cs"/>
            </a:rPr>
            <a:t>Preparation</a:t>
          </a:r>
        </a:p>
      </dgm:t>
    </dgm:pt>
    <dgm:pt modelId="{104AC39B-8461-4459-AC3E-1A32A7B003AD}" type="parTrans" cxnId="{164991F2-ACE9-46C5-8BC8-F794D09F3CB7}">
      <dgm:prSet/>
      <dgm:spPr/>
      <dgm:t>
        <a:bodyPr/>
        <a:lstStyle/>
        <a:p>
          <a:endParaRPr lang="en-US"/>
        </a:p>
      </dgm:t>
    </dgm:pt>
    <dgm:pt modelId="{66FD69B5-25AC-44FD-81CC-F81B05E0E594}" type="sibTrans" cxnId="{164991F2-ACE9-46C5-8BC8-F794D09F3CB7}">
      <dgm:prSet/>
      <dgm:spPr/>
      <dgm:t>
        <a:bodyPr/>
        <a:lstStyle/>
        <a:p>
          <a:endParaRPr lang="en-US"/>
        </a:p>
      </dgm:t>
    </dgm:pt>
    <dgm:pt modelId="{C07BDCC3-922F-4760-8C3A-FDC48D0CA9DB}">
      <dgm:prSet phldrT="[Text]"/>
      <dgm:spPr>
        <a:xfrm>
          <a:off x="2772927" y="350367"/>
          <a:ext cx="1539046" cy="615618"/>
        </a:xfrm>
        <a:solidFill>
          <a:schemeClr val="accent3"/>
        </a:solidFill>
        <a:ln>
          <a:noFill/>
        </a:ln>
        <a:effectLst>
          <a:outerShdw blurRad="57150" dist="19050" dir="5400000" algn="ctr" rotWithShape="0">
            <a:srgbClr val="000000">
              <a:alpha val="63000"/>
            </a:srgbClr>
          </a:outerShdw>
        </a:effectLst>
      </dgm:spPr>
      <dgm:t>
        <a:bodyPr/>
        <a:lstStyle/>
        <a:p>
          <a:r>
            <a:rPr lang="en-US">
              <a:solidFill>
                <a:sysClr val="window" lastClr="FFFFFF"/>
              </a:solidFill>
              <a:latin typeface="Calibri" panose="020F0502020204030204"/>
              <a:ea typeface="+mn-ea"/>
              <a:cs typeface="+mn-cs"/>
            </a:rPr>
            <a:t>Submission</a:t>
          </a:r>
        </a:p>
      </dgm:t>
    </dgm:pt>
    <dgm:pt modelId="{6D84F5D5-2536-48BD-AF4D-6DAD53BFF253}" type="parTrans" cxnId="{59A21C87-6CF1-4BB9-83A8-D2C5691D1A62}">
      <dgm:prSet/>
      <dgm:spPr/>
      <dgm:t>
        <a:bodyPr/>
        <a:lstStyle/>
        <a:p>
          <a:endParaRPr lang="en-US"/>
        </a:p>
      </dgm:t>
    </dgm:pt>
    <dgm:pt modelId="{43786BA0-1030-4D05-993C-40090C655A30}" type="sibTrans" cxnId="{59A21C87-6CF1-4BB9-83A8-D2C5691D1A62}">
      <dgm:prSet/>
      <dgm:spPr/>
      <dgm:t>
        <a:bodyPr/>
        <a:lstStyle/>
        <a:p>
          <a:endParaRPr lang="en-US"/>
        </a:p>
      </dgm:t>
    </dgm:pt>
    <dgm:pt modelId="{5DBE37FD-DDBF-44EF-AAA5-09C94C3662E2}">
      <dgm:prSet phldrT="[Text]"/>
      <dgm:spPr>
        <a:xfrm>
          <a:off x="4158068" y="350367"/>
          <a:ext cx="1539046" cy="615618"/>
        </a:xfrm>
        <a:solidFill>
          <a:schemeClr val="accent4"/>
        </a:solidFill>
        <a:ln>
          <a:noFill/>
        </a:ln>
        <a:effectLst>
          <a:outerShdw blurRad="57150" dist="19050" dir="5400000" algn="ctr" rotWithShape="0">
            <a:srgbClr val="000000">
              <a:alpha val="63000"/>
            </a:srgbClr>
          </a:outerShdw>
        </a:effectLst>
      </dgm:spPr>
      <dgm:t>
        <a:bodyPr/>
        <a:lstStyle/>
        <a:p>
          <a:r>
            <a:rPr lang="en-US">
              <a:solidFill>
                <a:sysClr val="window" lastClr="FFFFFF"/>
              </a:solidFill>
              <a:latin typeface="Calibri" panose="020F0502020204030204"/>
              <a:ea typeface="+mn-ea"/>
              <a:cs typeface="+mn-cs"/>
            </a:rPr>
            <a:t>Follow-up</a:t>
          </a:r>
        </a:p>
      </dgm:t>
    </dgm:pt>
    <dgm:pt modelId="{53A3F28A-38EA-4A90-80A6-923939893DF6}" type="parTrans" cxnId="{72259F87-24C3-4B35-BE35-7A68E3D81C34}">
      <dgm:prSet/>
      <dgm:spPr/>
      <dgm:t>
        <a:bodyPr/>
        <a:lstStyle/>
        <a:p>
          <a:endParaRPr lang="en-US"/>
        </a:p>
      </dgm:t>
    </dgm:pt>
    <dgm:pt modelId="{EB837D52-8D43-494A-9573-67F41D98866A}" type="sibTrans" cxnId="{72259F87-24C3-4B35-BE35-7A68E3D81C34}">
      <dgm:prSet/>
      <dgm:spPr/>
      <dgm:t>
        <a:bodyPr/>
        <a:lstStyle/>
        <a:p>
          <a:endParaRPr lang="en-US"/>
        </a:p>
      </dgm:t>
    </dgm:pt>
    <dgm:pt modelId="{3776B13C-9259-4A29-A979-F0B7DB1036AB}">
      <dgm:prSet phldrT="[Text]"/>
      <dgm:spPr>
        <a:xfrm>
          <a:off x="1387785" y="350367"/>
          <a:ext cx="1539046" cy="615618"/>
        </a:xfrm>
        <a:solidFill>
          <a:schemeClr val="accent2"/>
        </a:solidFill>
        <a:ln>
          <a:noFill/>
        </a:ln>
        <a:effectLst>
          <a:outerShdw blurRad="57150" dist="19050" dir="5400000" algn="ctr" rotWithShape="0">
            <a:srgbClr val="000000">
              <a:alpha val="63000"/>
            </a:srgbClr>
          </a:outerShdw>
        </a:effectLst>
      </dgm:spPr>
      <dgm:t>
        <a:bodyPr/>
        <a:lstStyle/>
        <a:p>
          <a:r>
            <a:rPr lang="en-US">
              <a:solidFill>
                <a:sysClr val="window" lastClr="FFFFFF"/>
              </a:solidFill>
              <a:latin typeface="Calibri" panose="020F0502020204030204"/>
              <a:ea typeface="+mn-ea"/>
              <a:cs typeface="+mn-cs"/>
            </a:rPr>
            <a:t>Consultation</a:t>
          </a:r>
        </a:p>
      </dgm:t>
    </dgm:pt>
    <dgm:pt modelId="{871D206C-0FBB-45F1-8CE6-FDB0531FD7C1}" type="parTrans" cxnId="{A9972D5F-0C39-49CD-A583-550C3751EE0A}">
      <dgm:prSet/>
      <dgm:spPr/>
      <dgm:t>
        <a:bodyPr/>
        <a:lstStyle/>
        <a:p>
          <a:endParaRPr lang="en-US"/>
        </a:p>
      </dgm:t>
    </dgm:pt>
    <dgm:pt modelId="{662BFE48-A795-45E6-A1F8-48CDF32AFDF7}" type="sibTrans" cxnId="{A9972D5F-0C39-49CD-A583-550C3751EE0A}">
      <dgm:prSet/>
      <dgm:spPr/>
      <dgm:t>
        <a:bodyPr/>
        <a:lstStyle/>
        <a:p>
          <a:endParaRPr lang="en-US"/>
        </a:p>
      </dgm:t>
    </dgm:pt>
    <dgm:pt modelId="{4E8087B2-B8D1-40BA-8457-49C7562ABBFF}" type="pres">
      <dgm:prSet presAssocID="{65ABB97B-95A6-4269-AB4A-6E2BB4182A1E}" presName="Name0" presStyleCnt="0">
        <dgm:presLayoutVars>
          <dgm:dir/>
          <dgm:animLvl val="lvl"/>
          <dgm:resizeHandles val="exact"/>
        </dgm:presLayoutVars>
      </dgm:prSet>
      <dgm:spPr/>
    </dgm:pt>
    <dgm:pt modelId="{BF55C601-19C5-4573-83E7-37B8EEC82D47}" type="pres">
      <dgm:prSet presAssocID="{FAFDD208-6573-4E6B-A790-B716EDA5E2B0}" presName="parTxOnly" presStyleLbl="node1" presStyleIdx="0" presStyleCnt="4">
        <dgm:presLayoutVars>
          <dgm:chMax val="0"/>
          <dgm:chPref val="0"/>
          <dgm:bulletEnabled val="1"/>
        </dgm:presLayoutVars>
      </dgm:prSet>
      <dgm:spPr>
        <a:prstGeom prst="chevron">
          <a:avLst/>
        </a:prstGeom>
      </dgm:spPr>
    </dgm:pt>
    <dgm:pt modelId="{E8FA096B-0919-44B4-80BD-B20374CF3154}" type="pres">
      <dgm:prSet presAssocID="{66FD69B5-25AC-44FD-81CC-F81B05E0E594}" presName="parTxOnlySpace" presStyleCnt="0"/>
      <dgm:spPr/>
    </dgm:pt>
    <dgm:pt modelId="{20EDB000-4296-4EA4-969F-A501FBE509BF}" type="pres">
      <dgm:prSet presAssocID="{3776B13C-9259-4A29-A979-F0B7DB1036AB}" presName="parTxOnly" presStyleLbl="node1" presStyleIdx="1" presStyleCnt="4">
        <dgm:presLayoutVars>
          <dgm:chMax val="0"/>
          <dgm:chPref val="0"/>
          <dgm:bulletEnabled val="1"/>
        </dgm:presLayoutVars>
      </dgm:prSet>
      <dgm:spPr>
        <a:prstGeom prst="chevron">
          <a:avLst/>
        </a:prstGeom>
      </dgm:spPr>
    </dgm:pt>
    <dgm:pt modelId="{4D8B06B4-426F-44D9-813D-A3B127612CC8}" type="pres">
      <dgm:prSet presAssocID="{662BFE48-A795-45E6-A1F8-48CDF32AFDF7}" presName="parTxOnlySpace" presStyleCnt="0"/>
      <dgm:spPr/>
    </dgm:pt>
    <dgm:pt modelId="{5E8CB7E8-80D3-45DE-AA24-AB9F0929B6D8}" type="pres">
      <dgm:prSet presAssocID="{C07BDCC3-922F-4760-8C3A-FDC48D0CA9DB}" presName="parTxOnly" presStyleLbl="node1" presStyleIdx="2" presStyleCnt="4">
        <dgm:presLayoutVars>
          <dgm:chMax val="0"/>
          <dgm:chPref val="0"/>
          <dgm:bulletEnabled val="1"/>
        </dgm:presLayoutVars>
      </dgm:prSet>
      <dgm:spPr>
        <a:prstGeom prst="chevron">
          <a:avLst/>
        </a:prstGeom>
      </dgm:spPr>
    </dgm:pt>
    <dgm:pt modelId="{4663A465-DBF0-463D-A9ED-07595FFE57AA}" type="pres">
      <dgm:prSet presAssocID="{43786BA0-1030-4D05-993C-40090C655A30}" presName="parTxOnlySpace" presStyleCnt="0"/>
      <dgm:spPr/>
    </dgm:pt>
    <dgm:pt modelId="{C7325324-0314-4D59-B2B8-17C9B2BF1837}" type="pres">
      <dgm:prSet presAssocID="{5DBE37FD-DDBF-44EF-AAA5-09C94C3662E2}" presName="parTxOnly" presStyleLbl="node1" presStyleIdx="3" presStyleCnt="4">
        <dgm:presLayoutVars>
          <dgm:chMax val="0"/>
          <dgm:chPref val="0"/>
          <dgm:bulletEnabled val="1"/>
        </dgm:presLayoutVars>
      </dgm:prSet>
      <dgm:spPr>
        <a:prstGeom prst="chevron">
          <a:avLst/>
        </a:prstGeom>
      </dgm:spPr>
    </dgm:pt>
  </dgm:ptLst>
  <dgm:cxnLst>
    <dgm:cxn modelId="{39F1601C-49DB-4A2F-8776-B68DE1C93C46}" type="presOf" srcId="{5DBE37FD-DDBF-44EF-AAA5-09C94C3662E2}" destId="{C7325324-0314-4D59-B2B8-17C9B2BF1837}" srcOrd="0" destOrd="0" presId="urn:microsoft.com/office/officeart/2005/8/layout/chevron1"/>
    <dgm:cxn modelId="{86D09134-3376-4722-AAF7-FBA65BACF795}" type="presOf" srcId="{65ABB97B-95A6-4269-AB4A-6E2BB4182A1E}" destId="{4E8087B2-B8D1-40BA-8457-49C7562ABBFF}" srcOrd="0" destOrd="0" presId="urn:microsoft.com/office/officeart/2005/8/layout/chevron1"/>
    <dgm:cxn modelId="{C7DBD739-CF32-4175-82F7-AF04F0F5648E}" type="presOf" srcId="{C07BDCC3-922F-4760-8C3A-FDC48D0CA9DB}" destId="{5E8CB7E8-80D3-45DE-AA24-AB9F0929B6D8}" srcOrd="0" destOrd="0" presId="urn:microsoft.com/office/officeart/2005/8/layout/chevron1"/>
    <dgm:cxn modelId="{A9972D5F-0C39-49CD-A583-550C3751EE0A}" srcId="{65ABB97B-95A6-4269-AB4A-6E2BB4182A1E}" destId="{3776B13C-9259-4A29-A979-F0B7DB1036AB}" srcOrd="1" destOrd="0" parTransId="{871D206C-0FBB-45F1-8CE6-FDB0531FD7C1}" sibTransId="{662BFE48-A795-45E6-A1F8-48CDF32AFDF7}"/>
    <dgm:cxn modelId="{59A21C87-6CF1-4BB9-83A8-D2C5691D1A62}" srcId="{65ABB97B-95A6-4269-AB4A-6E2BB4182A1E}" destId="{C07BDCC3-922F-4760-8C3A-FDC48D0CA9DB}" srcOrd="2" destOrd="0" parTransId="{6D84F5D5-2536-48BD-AF4D-6DAD53BFF253}" sibTransId="{43786BA0-1030-4D05-993C-40090C655A30}"/>
    <dgm:cxn modelId="{72259F87-24C3-4B35-BE35-7A68E3D81C34}" srcId="{65ABB97B-95A6-4269-AB4A-6E2BB4182A1E}" destId="{5DBE37FD-DDBF-44EF-AAA5-09C94C3662E2}" srcOrd="3" destOrd="0" parTransId="{53A3F28A-38EA-4A90-80A6-923939893DF6}" sibTransId="{EB837D52-8D43-494A-9573-67F41D98866A}"/>
    <dgm:cxn modelId="{AB1FF796-8F52-43CE-9B4C-F89252D860CF}" type="presOf" srcId="{FAFDD208-6573-4E6B-A790-B716EDA5E2B0}" destId="{BF55C601-19C5-4573-83E7-37B8EEC82D47}" srcOrd="0" destOrd="0" presId="urn:microsoft.com/office/officeart/2005/8/layout/chevron1"/>
    <dgm:cxn modelId="{75AD72C7-EC5D-4A56-886F-C2699F7BDC2C}" type="presOf" srcId="{3776B13C-9259-4A29-A979-F0B7DB1036AB}" destId="{20EDB000-4296-4EA4-969F-A501FBE509BF}" srcOrd="0" destOrd="0" presId="urn:microsoft.com/office/officeart/2005/8/layout/chevron1"/>
    <dgm:cxn modelId="{164991F2-ACE9-46C5-8BC8-F794D09F3CB7}" srcId="{65ABB97B-95A6-4269-AB4A-6E2BB4182A1E}" destId="{FAFDD208-6573-4E6B-A790-B716EDA5E2B0}" srcOrd="0" destOrd="0" parTransId="{104AC39B-8461-4459-AC3E-1A32A7B003AD}" sibTransId="{66FD69B5-25AC-44FD-81CC-F81B05E0E594}"/>
    <dgm:cxn modelId="{12014CF6-BFFF-4D75-B4C3-B27CF682356B}" type="presParOf" srcId="{4E8087B2-B8D1-40BA-8457-49C7562ABBFF}" destId="{BF55C601-19C5-4573-83E7-37B8EEC82D47}" srcOrd="0" destOrd="0" presId="urn:microsoft.com/office/officeart/2005/8/layout/chevron1"/>
    <dgm:cxn modelId="{8E1645C7-3251-4880-8863-B4B0CA69CA90}" type="presParOf" srcId="{4E8087B2-B8D1-40BA-8457-49C7562ABBFF}" destId="{E8FA096B-0919-44B4-80BD-B20374CF3154}" srcOrd="1" destOrd="0" presId="urn:microsoft.com/office/officeart/2005/8/layout/chevron1"/>
    <dgm:cxn modelId="{6ED9F44B-1662-48FC-A11F-7D2B2EA10639}" type="presParOf" srcId="{4E8087B2-B8D1-40BA-8457-49C7562ABBFF}" destId="{20EDB000-4296-4EA4-969F-A501FBE509BF}" srcOrd="2" destOrd="0" presId="urn:microsoft.com/office/officeart/2005/8/layout/chevron1"/>
    <dgm:cxn modelId="{703407DC-3146-4CDA-86D2-765F4706BD63}" type="presParOf" srcId="{4E8087B2-B8D1-40BA-8457-49C7562ABBFF}" destId="{4D8B06B4-426F-44D9-813D-A3B127612CC8}" srcOrd="3" destOrd="0" presId="urn:microsoft.com/office/officeart/2005/8/layout/chevron1"/>
    <dgm:cxn modelId="{41D90769-17DB-4DBA-82B4-8F4C54DA4854}" type="presParOf" srcId="{4E8087B2-B8D1-40BA-8457-49C7562ABBFF}" destId="{5E8CB7E8-80D3-45DE-AA24-AB9F0929B6D8}" srcOrd="4" destOrd="0" presId="urn:microsoft.com/office/officeart/2005/8/layout/chevron1"/>
    <dgm:cxn modelId="{3AA537AA-9DC0-4016-85E4-9E6FDE7B9383}" type="presParOf" srcId="{4E8087B2-B8D1-40BA-8457-49C7562ABBFF}" destId="{4663A465-DBF0-463D-A9ED-07595FFE57AA}" srcOrd="5" destOrd="0" presId="urn:microsoft.com/office/officeart/2005/8/layout/chevron1"/>
    <dgm:cxn modelId="{CCA87F5E-CD94-4040-BB77-0BF9CA0D049A}" type="presParOf" srcId="{4E8087B2-B8D1-40BA-8457-49C7562ABBFF}" destId="{C7325324-0314-4D59-B2B8-17C9B2BF1837}" srcOrd="6" destOrd="0" presId="urn:microsoft.com/office/officeart/2005/8/layout/chevron1"/>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AB106909-8F3D-4F49-B2A4-CAFFD62AF3B6}" type="doc">
      <dgm:prSet loTypeId="urn:microsoft.com/office/officeart/2005/8/layout/process1" loCatId="process" qsTypeId="urn:microsoft.com/office/officeart/2005/8/quickstyle/simple1" qsCatId="simple" csTypeId="urn:microsoft.com/office/officeart/2005/8/colors/colorful5" csCatId="colorful" phldr="1"/>
      <dgm:spPr/>
      <dgm:t>
        <a:bodyPr/>
        <a:lstStyle/>
        <a:p>
          <a:endParaRPr lang="en-GB"/>
        </a:p>
      </dgm:t>
    </dgm:pt>
    <dgm:pt modelId="{2C7BD89C-2CCF-4F40-8DD4-137B818596A6}">
      <dgm:prSet phldrT="[Text]" custT="1"/>
      <dgm:spPr>
        <a:solidFill>
          <a:schemeClr val="accent4"/>
        </a:solidFill>
      </dgm:spPr>
      <dgm:t>
        <a:bodyPr/>
        <a:lstStyle/>
        <a:p>
          <a:pPr algn="l"/>
          <a:r>
            <a:rPr lang="en-GB" sz="1000" b="1"/>
            <a:t>Draft 1</a:t>
          </a:r>
        </a:p>
        <a:p>
          <a:pPr algn="l"/>
          <a:r>
            <a:rPr lang="en-GB" sz="1000"/>
            <a:t>Core Team (e.g. SDG 6.5.1. Focal Point, Facilitator, government representatives) reviews survey</a:t>
          </a:r>
          <a:endParaRPr lang="en-GB" sz="1000" b="1"/>
        </a:p>
      </dgm:t>
    </dgm:pt>
    <dgm:pt modelId="{057B4B13-560F-4991-93C1-DDED76F0B70F}" type="parTrans" cxnId="{FDEAE678-D45C-49B3-B868-5E246481489C}">
      <dgm:prSet/>
      <dgm:spPr/>
      <dgm:t>
        <a:bodyPr/>
        <a:lstStyle/>
        <a:p>
          <a:endParaRPr lang="en-GB" sz="1000"/>
        </a:p>
      </dgm:t>
    </dgm:pt>
    <dgm:pt modelId="{BBBA7028-7D3A-4D97-8108-62FC1D35C066}" type="sibTrans" cxnId="{FDEAE678-D45C-49B3-B868-5E246481489C}">
      <dgm:prSet custT="1"/>
      <dgm:spPr>
        <a:solidFill>
          <a:schemeClr val="accent1"/>
        </a:solidFill>
      </dgm:spPr>
      <dgm:t>
        <a:bodyPr/>
        <a:lstStyle/>
        <a:p>
          <a:endParaRPr lang="en-GB" sz="1000"/>
        </a:p>
      </dgm:t>
    </dgm:pt>
    <dgm:pt modelId="{79704A19-0FAB-48FB-A2A9-126A598C5DEE}">
      <dgm:prSet phldrT="[Text]" custT="1"/>
      <dgm:spPr>
        <a:solidFill>
          <a:schemeClr val="accent4"/>
        </a:solidFill>
      </dgm:spPr>
      <dgm:t>
        <a:bodyPr/>
        <a:lstStyle/>
        <a:p>
          <a:pPr algn="l"/>
          <a:r>
            <a:rPr lang="en-GB" sz="1000" b="1"/>
            <a:t>Draft 2</a:t>
          </a:r>
        </a:p>
        <a:p>
          <a:pPr algn="l"/>
          <a:r>
            <a:rPr lang="en-GB" sz="1000"/>
            <a:t>Government stakeholders review survey</a:t>
          </a:r>
          <a:endParaRPr lang="en-GB" sz="1000" b="1"/>
        </a:p>
      </dgm:t>
    </dgm:pt>
    <dgm:pt modelId="{BB13C64A-34E9-4ADF-9546-0A47BF1B51EA}" type="parTrans" cxnId="{E218E757-6AF7-4B3A-9AC6-43828BF501BA}">
      <dgm:prSet/>
      <dgm:spPr/>
      <dgm:t>
        <a:bodyPr/>
        <a:lstStyle/>
        <a:p>
          <a:endParaRPr lang="en-GB" sz="1000"/>
        </a:p>
      </dgm:t>
    </dgm:pt>
    <dgm:pt modelId="{0E32ABF9-1D78-4C4E-A687-48A5D7392632}" type="sibTrans" cxnId="{E218E757-6AF7-4B3A-9AC6-43828BF501BA}">
      <dgm:prSet custT="1"/>
      <dgm:spPr>
        <a:solidFill>
          <a:schemeClr val="accent1"/>
        </a:solidFill>
      </dgm:spPr>
      <dgm:t>
        <a:bodyPr/>
        <a:lstStyle/>
        <a:p>
          <a:endParaRPr lang="en-GB" sz="1000"/>
        </a:p>
      </dgm:t>
    </dgm:pt>
    <dgm:pt modelId="{E55A7F75-1858-4578-BEF5-84B052A939E0}">
      <dgm:prSet phldrT="[Text]" custT="1"/>
      <dgm:spPr>
        <a:solidFill>
          <a:schemeClr val="accent4"/>
        </a:solidFill>
      </dgm:spPr>
      <dgm:t>
        <a:bodyPr/>
        <a:lstStyle/>
        <a:p>
          <a:pPr algn="l"/>
          <a:r>
            <a:rPr lang="en-GB" sz="1000" b="1"/>
            <a:t>Draft 3</a:t>
          </a:r>
        </a:p>
        <a:p>
          <a:pPr algn="l"/>
          <a:r>
            <a:rPr lang="en-GB" sz="1000"/>
            <a:t>Multi-stakeholder workshop to review/ validate survey</a:t>
          </a:r>
          <a:endParaRPr lang="en-GB" sz="1000" b="1"/>
        </a:p>
      </dgm:t>
    </dgm:pt>
    <dgm:pt modelId="{1C4ECC27-58BF-41BE-89FA-E142D03A1224}" type="parTrans" cxnId="{3231836D-07ED-4AA5-948D-C3507C94C829}">
      <dgm:prSet/>
      <dgm:spPr/>
      <dgm:t>
        <a:bodyPr/>
        <a:lstStyle/>
        <a:p>
          <a:endParaRPr lang="en-GB" sz="1000"/>
        </a:p>
      </dgm:t>
    </dgm:pt>
    <dgm:pt modelId="{CC3910CA-ACCF-40D5-9389-8627A91A42E2}" type="sibTrans" cxnId="{3231836D-07ED-4AA5-948D-C3507C94C829}">
      <dgm:prSet custT="1"/>
      <dgm:spPr>
        <a:solidFill>
          <a:schemeClr val="accent1"/>
        </a:solidFill>
      </dgm:spPr>
      <dgm:t>
        <a:bodyPr/>
        <a:lstStyle/>
        <a:p>
          <a:endParaRPr lang="en-GB" sz="1000"/>
        </a:p>
      </dgm:t>
    </dgm:pt>
    <dgm:pt modelId="{529A6636-ABA1-4C82-B945-827406C09C6C}">
      <dgm:prSet phldrT="[Text]" custT="1"/>
      <dgm:spPr>
        <a:solidFill>
          <a:schemeClr val="accent4"/>
        </a:solidFill>
      </dgm:spPr>
      <dgm:t>
        <a:bodyPr/>
        <a:lstStyle/>
        <a:p>
          <a:pPr algn="l"/>
          <a:r>
            <a:rPr lang="en-GB" sz="1000" b="1"/>
            <a:t>Final version</a:t>
          </a:r>
        </a:p>
        <a:p>
          <a:pPr algn="l"/>
          <a:r>
            <a:rPr lang="en-GB" sz="1000"/>
            <a:t>Core Team reviews input and finalises survey. Focal Point submits final version to UNEP</a:t>
          </a:r>
          <a:endParaRPr lang="en-GB" sz="1000" b="1"/>
        </a:p>
      </dgm:t>
    </dgm:pt>
    <dgm:pt modelId="{E0508EA2-75D1-4F29-A97C-49812FF67295}" type="parTrans" cxnId="{D5CADC46-2BAC-4CB0-ADCE-279A1DC183B8}">
      <dgm:prSet/>
      <dgm:spPr/>
      <dgm:t>
        <a:bodyPr/>
        <a:lstStyle/>
        <a:p>
          <a:endParaRPr lang="en-GB" sz="1000"/>
        </a:p>
      </dgm:t>
    </dgm:pt>
    <dgm:pt modelId="{7C5B45CD-49B8-412C-9201-C4C2F9F32ECD}" type="sibTrans" cxnId="{D5CADC46-2BAC-4CB0-ADCE-279A1DC183B8}">
      <dgm:prSet/>
      <dgm:spPr/>
      <dgm:t>
        <a:bodyPr/>
        <a:lstStyle/>
        <a:p>
          <a:endParaRPr lang="en-GB" sz="1000"/>
        </a:p>
      </dgm:t>
    </dgm:pt>
    <dgm:pt modelId="{FC106771-7EDF-40EC-93B5-4862554AE165}" type="pres">
      <dgm:prSet presAssocID="{AB106909-8F3D-4F49-B2A4-CAFFD62AF3B6}" presName="Name0" presStyleCnt="0">
        <dgm:presLayoutVars>
          <dgm:dir/>
          <dgm:resizeHandles val="exact"/>
        </dgm:presLayoutVars>
      </dgm:prSet>
      <dgm:spPr/>
    </dgm:pt>
    <dgm:pt modelId="{7BC8D991-4B4B-44EB-B627-8305834F9F32}" type="pres">
      <dgm:prSet presAssocID="{2C7BD89C-2CCF-4F40-8DD4-137B818596A6}" presName="node" presStyleLbl="node1" presStyleIdx="0" presStyleCnt="4" custScaleX="132579">
        <dgm:presLayoutVars>
          <dgm:bulletEnabled val="1"/>
        </dgm:presLayoutVars>
      </dgm:prSet>
      <dgm:spPr/>
    </dgm:pt>
    <dgm:pt modelId="{D7483DED-499F-4752-9B30-9CF0B7D7CC19}" type="pres">
      <dgm:prSet presAssocID="{BBBA7028-7D3A-4D97-8108-62FC1D35C066}" presName="sibTrans" presStyleLbl="sibTrans2D1" presStyleIdx="0" presStyleCnt="3"/>
      <dgm:spPr/>
    </dgm:pt>
    <dgm:pt modelId="{BB8581BF-9E3C-4DC2-B973-AB6E78571E9E}" type="pres">
      <dgm:prSet presAssocID="{BBBA7028-7D3A-4D97-8108-62FC1D35C066}" presName="connectorText" presStyleLbl="sibTrans2D1" presStyleIdx="0" presStyleCnt="3"/>
      <dgm:spPr/>
    </dgm:pt>
    <dgm:pt modelId="{40FD5823-DB41-4DD3-8B52-F04F6C7723E2}" type="pres">
      <dgm:prSet presAssocID="{79704A19-0FAB-48FB-A2A9-126A598C5DEE}" presName="node" presStyleLbl="node1" presStyleIdx="1" presStyleCnt="4">
        <dgm:presLayoutVars>
          <dgm:bulletEnabled val="1"/>
        </dgm:presLayoutVars>
      </dgm:prSet>
      <dgm:spPr/>
    </dgm:pt>
    <dgm:pt modelId="{879FC769-7A97-43A8-A9E6-BB8F0E5787DD}" type="pres">
      <dgm:prSet presAssocID="{0E32ABF9-1D78-4C4E-A687-48A5D7392632}" presName="sibTrans" presStyleLbl="sibTrans2D1" presStyleIdx="1" presStyleCnt="3"/>
      <dgm:spPr/>
    </dgm:pt>
    <dgm:pt modelId="{D7C63753-D1BF-431C-89E3-99A42D6EACEE}" type="pres">
      <dgm:prSet presAssocID="{0E32ABF9-1D78-4C4E-A687-48A5D7392632}" presName="connectorText" presStyleLbl="sibTrans2D1" presStyleIdx="1" presStyleCnt="3"/>
      <dgm:spPr/>
    </dgm:pt>
    <dgm:pt modelId="{8CBE17A1-7A2A-4296-B876-7907D01B6AE1}" type="pres">
      <dgm:prSet presAssocID="{E55A7F75-1858-4578-BEF5-84B052A939E0}" presName="node" presStyleLbl="node1" presStyleIdx="2" presStyleCnt="4">
        <dgm:presLayoutVars>
          <dgm:bulletEnabled val="1"/>
        </dgm:presLayoutVars>
      </dgm:prSet>
      <dgm:spPr/>
    </dgm:pt>
    <dgm:pt modelId="{9792789E-098B-4677-AD90-E5C598FCD7AA}" type="pres">
      <dgm:prSet presAssocID="{CC3910CA-ACCF-40D5-9389-8627A91A42E2}" presName="sibTrans" presStyleLbl="sibTrans2D1" presStyleIdx="2" presStyleCnt="3"/>
      <dgm:spPr/>
    </dgm:pt>
    <dgm:pt modelId="{3691AD9C-439B-470C-9473-761D4BCFA7EB}" type="pres">
      <dgm:prSet presAssocID="{CC3910CA-ACCF-40D5-9389-8627A91A42E2}" presName="connectorText" presStyleLbl="sibTrans2D1" presStyleIdx="2" presStyleCnt="3"/>
      <dgm:spPr/>
    </dgm:pt>
    <dgm:pt modelId="{98D2D1EA-B460-4EE4-AE18-2E67D77A6BCC}" type="pres">
      <dgm:prSet presAssocID="{529A6636-ABA1-4C82-B945-827406C09C6C}" presName="node" presStyleLbl="node1" presStyleIdx="3" presStyleCnt="4">
        <dgm:presLayoutVars>
          <dgm:bulletEnabled val="1"/>
        </dgm:presLayoutVars>
      </dgm:prSet>
      <dgm:spPr/>
    </dgm:pt>
  </dgm:ptLst>
  <dgm:cxnLst>
    <dgm:cxn modelId="{25BD7816-B512-486F-B87C-584CBC05EAAB}" type="presOf" srcId="{CC3910CA-ACCF-40D5-9389-8627A91A42E2}" destId="{3691AD9C-439B-470C-9473-761D4BCFA7EB}" srcOrd="1" destOrd="0" presId="urn:microsoft.com/office/officeart/2005/8/layout/process1"/>
    <dgm:cxn modelId="{3444D835-83C5-4A1A-B719-23B756DAD68D}" type="presOf" srcId="{E55A7F75-1858-4578-BEF5-84B052A939E0}" destId="{8CBE17A1-7A2A-4296-B876-7907D01B6AE1}" srcOrd="0" destOrd="0" presId="urn:microsoft.com/office/officeart/2005/8/layout/process1"/>
    <dgm:cxn modelId="{B93E5E3B-5562-4DAF-863D-92FF27A2FCBF}" type="presOf" srcId="{BBBA7028-7D3A-4D97-8108-62FC1D35C066}" destId="{D7483DED-499F-4752-9B30-9CF0B7D7CC19}" srcOrd="0" destOrd="0" presId="urn:microsoft.com/office/officeart/2005/8/layout/process1"/>
    <dgm:cxn modelId="{D5CADC46-2BAC-4CB0-ADCE-279A1DC183B8}" srcId="{AB106909-8F3D-4F49-B2A4-CAFFD62AF3B6}" destId="{529A6636-ABA1-4C82-B945-827406C09C6C}" srcOrd="3" destOrd="0" parTransId="{E0508EA2-75D1-4F29-A97C-49812FF67295}" sibTransId="{7C5B45CD-49B8-412C-9201-C4C2F9F32ECD}"/>
    <dgm:cxn modelId="{727DFF69-2131-49BB-AE3A-688972E62103}" type="presOf" srcId="{2C7BD89C-2CCF-4F40-8DD4-137B818596A6}" destId="{7BC8D991-4B4B-44EB-B627-8305834F9F32}" srcOrd="0" destOrd="0" presId="urn:microsoft.com/office/officeart/2005/8/layout/process1"/>
    <dgm:cxn modelId="{C5D05E6A-5666-418F-9647-A2197941036E}" type="presOf" srcId="{0E32ABF9-1D78-4C4E-A687-48A5D7392632}" destId="{879FC769-7A97-43A8-A9E6-BB8F0E5787DD}" srcOrd="0" destOrd="0" presId="urn:microsoft.com/office/officeart/2005/8/layout/process1"/>
    <dgm:cxn modelId="{3231836D-07ED-4AA5-948D-C3507C94C829}" srcId="{AB106909-8F3D-4F49-B2A4-CAFFD62AF3B6}" destId="{E55A7F75-1858-4578-BEF5-84B052A939E0}" srcOrd="2" destOrd="0" parTransId="{1C4ECC27-58BF-41BE-89FA-E142D03A1224}" sibTransId="{CC3910CA-ACCF-40D5-9389-8627A91A42E2}"/>
    <dgm:cxn modelId="{E218E757-6AF7-4B3A-9AC6-43828BF501BA}" srcId="{AB106909-8F3D-4F49-B2A4-CAFFD62AF3B6}" destId="{79704A19-0FAB-48FB-A2A9-126A598C5DEE}" srcOrd="1" destOrd="0" parTransId="{BB13C64A-34E9-4ADF-9546-0A47BF1B51EA}" sibTransId="{0E32ABF9-1D78-4C4E-A687-48A5D7392632}"/>
    <dgm:cxn modelId="{FDEAE678-D45C-49B3-B868-5E246481489C}" srcId="{AB106909-8F3D-4F49-B2A4-CAFFD62AF3B6}" destId="{2C7BD89C-2CCF-4F40-8DD4-137B818596A6}" srcOrd="0" destOrd="0" parTransId="{057B4B13-560F-4991-93C1-DDED76F0B70F}" sibTransId="{BBBA7028-7D3A-4D97-8108-62FC1D35C066}"/>
    <dgm:cxn modelId="{03B3BF7A-1282-44AD-B94D-FD79191BA065}" type="presOf" srcId="{AB106909-8F3D-4F49-B2A4-CAFFD62AF3B6}" destId="{FC106771-7EDF-40EC-93B5-4862554AE165}" srcOrd="0" destOrd="0" presId="urn:microsoft.com/office/officeart/2005/8/layout/process1"/>
    <dgm:cxn modelId="{E7E2837F-907E-421E-A81D-188DA1CA8774}" type="presOf" srcId="{CC3910CA-ACCF-40D5-9389-8627A91A42E2}" destId="{9792789E-098B-4677-AD90-E5C598FCD7AA}" srcOrd="0" destOrd="0" presId="urn:microsoft.com/office/officeart/2005/8/layout/process1"/>
    <dgm:cxn modelId="{ADDF2683-20DC-4F16-9F22-08F1205ED572}" type="presOf" srcId="{79704A19-0FAB-48FB-A2A9-126A598C5DEE}" destId="{40FD5823-DB41-4DD3-8B52-F04F6C7723E2}" srcOrd="0" destOrd="0" presId="urn:microsoft.com/office/officeart/2005/8/layout/process1"/>
    <dgm:cxn modelId="{94A43597-43CB-4255-B5B8-CB5485884819}" type="presOf" srcId="{BBBA7028-7D3A-4D97-8108-62FC1D35C066}" destId="{BB8581BF-9E3C-4DC2-B973-AB6E78571E9E}" srcOrd="1" destOrd="0" presId="urn:microsoft.com/office/officeart/2005/8/layout/process1"/>
    <dgm:cxn modelId="{47E339BB-B94C-47E1-AA41-E6C0049C1717}" type="presOf" srcId="{0E32ABF9-1D78-4C4E-A687-48A5D7392632}" destId="{D7C63753-D1BF-431C-89E3-99A42D6EACEE}" srcOrd="1" destOrd="0" presId="urn:microsoft.com/office/officeart/2005/8/layout/process1"/>
    <dgm:cxn modelId="{7F29D3CB-AD86-4735-A94B-93A37D533350}" type="presOf" srcId="{529A6636-ABA1-4C82-B945-827406C09C6C}" destId="{98D2D1EA-B460-4EE4-AE18-2E67D77A6BCC}" srcOrd="0" destOrd="0" presId="urn:microsoft.com/office/officeart/2005/8/layout/process1"/>
    <dgm:cxn modelId="{D617F614-F267-40AA-908D-CCEA4D9D042F}" type="presParOf" srcId="{FC106771-7EDF-40EC-93B5-4862554AE165}" destId="{7BC8D991-4B4B-44EB-B627-8305834F9F32}" srcOrd="0" destOrd="0" presId="urn:microsoft.com/office/officeart/2005/8/layout/process1"/>
    <dgm:cxn modelId="{1CB7D120-0BEA-4802-B4CA-AC53A950889C}" type="presParOf" srcId="{FC106771-7EDF-40EC-93B5-4862554AE165}" destId="{D7483DED-499F-4752-9B30-9CF0B7D7CC19}" srcOrd="1" destOrd="0" presId="urn:microsoft.com/office/officeart/2005/8/layout/process1"/>
    <dgm:cxn modelId="{1B8E4C12-8DD8-4835-97BA-8A947E12771D}" type="presParOf" srcId="{D7483DED-499F-4752-9B30-9CF0B7D7CC19}" destId="{BB8581BF-9E3C-4DC2-B973-AB6E78571E9E}" srcOrd="0" destOrd="0" presId="urn:microsoft.com/office/officeart/2005/8/layout/process1"/>
    <dgm:cxn modelId="{500738E6-829C-4252-BEFE-DFF5D1710758}" type="presParOf" srcId="{FC106771-7EDF-40EC-93B5-4862554AE165}" destId="{40FD5823-DB41-4DD3-8B52-F04F6C7723E2}" srcOrd="2" destOrd="0" presId="urn:microsoft.com/office/officeart/2005/8/layout/process1"/>
    <dgm:cxn modelId="{64504DE7-74B1-4407-9175-9D09F973D802}" type="presParOf" srcId="{FC106771-7EDF-40EC-93B5-4862554AE165}" destId="{879FC769-7A97-43A8-A9E6-BB8F0E5787DD}" srcOrd="3" destOrd="0" presId="urn:microsoft.com/office/officeart/2005/8/layout/process1"/>
    <dgm:cxn modelId="{B87627EB-6BEE-4B60-8977-C9304F6ECB55}" type="presParOf" srcId="{879FC769-7A97-43A8-A9E6-BB8F0E5787DD}" destId="{D7C63753-D1BF-431C-89E3-99A42D6EACEE}" srcOrd="0" destOrd="0" presId="urn:microsoft.com/office/officeart/2005/8/layout/process1"/>
    <dgm:cxn modelId="{A9929D3B-3F8F-4906-AA9B-57455FBAB77C}" type="presParOf" srcId="{FC106771-7EDF-40EC-93B5-4862554AE165}" destId="{8CBE17A1-7A2A-4296-B876-7907D01B6AE1}" srcOrd="4" destOrd="0" presId="urn:microsoft.com/office/officeart/2005/8/layout/process1"/>
    <dgm:cxn modelId="{0B49F2DA-5C25-43EB-A08F-5B9820A6F267}" type="presParOf" srcId="{FC106771-7EDF-40EC-93B5-4862554AE165}" destId="{9792789E-098B-4677-AD90-E5C598FCD7AA}" srcOrd="5" destOrd="0" presId="urn:microsoft.com/office/officeart/2005/8/layout/process1"/>
    <dgm:cxn modelId="{56A16774-4095-4291-8528-C07F72E91629}" type="presParOf" srcId="{9792789E-098B-4677-AD90-E5C598FCD7AA}" destId="{3691AD9C-439B-470C-9473-761D4BCFA7EB}" srcOrd="0" destOrd="0" presId="urn:microsoft.com/office/officeart/2005/8/layout/process1"/>
    <dgm:cxn modelId="{CD7962CC-1B0F-4B0E-AC95-235250BBB5A3}" type="presParOf" srcId="{FC106771-7EDF-40EC-93B5-4862554AE165}" destId="{98D2D1EA-B460-4EE4-AE18-2E67D77A6BCC}" srcOrd="6" destOrd="0" presId="urn:microsoft.com/office/officeart/2005/8/layout/process1"/>
  </dgm:cxnLst>
  <dgm:bg>
    <a:noFill/>
  </dgm:bg>
  <dgm:whole/>
  <dgm:extLst>
    <a:ext uri="http://schemas.microsoft.com/office/drawing/2008/diagram">
      <dsp:dataModelExt xmlns:dsp="http://schemas.microsoft.com/office/drawing/2008/diagram" relId="rId41"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2D0BD744-3615-4BCA-8C0A-412A5BF015F9}" type="doc">
      <dgm:prSet loTypeId="urn:microsoft.com/office/officeart/2005/8/layout/process1" loCatId="process" qsTypeId="urn:microsoft.com/office/officeart/2005/8/quickstyle/simple1" qsCatId="simple" csTypeId="urn:microsoft.com/office/officeart/2005/8/colors/colorful5" csCatId="colorful" phldr="1"/>
      <dgm:spPr/>
    </dgm:pt>
    <dgm:pt modelId="{E74613DA-E57C-4ACF-8C3A-30BDA202F6F6}">
      <dgm:prSet phldrT="[Text]" custT="1"/>
      <dgm:spPr>
        <a:solidFill>
          <a:schemeClr val="accent4"/>
        </a:solidFill>
      </dgm:spPr>
      <dgm:t>
        <a:bodyPr/>
        <a:lstStyle/>
        <a:p>
          <a:pPr algn="l"/>
          <a:r>
            <a:rPr lang="en-GB" sz="1000" b="1"/>
            <a:t>Individual survey responses</a:t>
          </a:r>
        </a:p>
        <a:p>
          <a:pPr algn="l"/>
          <a:r>
            <a:rPr lang="en-GB" sz="1000" b="0"/>
            <a:t>Each stakeholder or stakeholder group completes the survey separately </a:t>
          </a:r>
          <a:endParaRPr lang="en-GB" sz="1000" b="1"/>
        </a:p>
      </dgm:t>
    </dgm:pt>
    <dgm:pt modelId="{F2293A8F-4259-475B-8E8D-36FA078225AA}" type="parTrans" cxnId="{AD7C1949-9881-4D70-8184-44948477DB7F}">
      <dgm:prSet/>
      <dgm:spPr/>
      <dgm:t>
        <a:bodyPr/>
        <a:lstStyle/>
        <a:p>
          <a:endParaRPr lang="en-GB" sz="1000"/>
        </a:p>
      </dgm:t>
    </dgm:pt>
    <dgm:pt modelId="{8FB34983-0770-4370-90C7-5AD25DC70386}" type="sibTrans" cxnId="{AD7C1949-9881-4D70-8184-44948477DB7F}">
      <dgm:prSet custT="1"/>
      <dgm:spPr>
        <a:solidFill>
          <a:schemeClr val="accent1"/>
        </a:solidFill>
      </dgm:spPr>
      <dgm:t>
        <a:bodyPr/>
        <a:lstStyle/>
        <a:p>
          <a:endParaRPr lang="en-GB" sz="1000"/>
        </a:p>
      </dgm:t>
    </dgm:pt>
    <dgm:pt modelId="{73E5205E-D736-45DA-86E9-8DD98D487B14}">
      <dgm:prSet phldrT="[Text]" custT="1"/>
      <dgm:spPr>
        <a:solidFill>
          <a:schemeClr val="accent4"/>
        </a:solidFill>
      </dgm:spPr>
      <dgm:t>
        <a:bodyPr/>
        <a:lstStyle/>
        <a:p>
          <a:pPr algn="l"/>
          <a:r>
            <a:rPr lang="en-GB" sz="1000" b="1"/>
            <a:t>Draft 1</a:t>
          </a:r>
        </a:p>
        <a:p>
          <a:pPr algn="l"/>
          <a:r>
            <a:rPr lang="en-GB" sz="1000"/>
            <a:t>Compiled answers, prepared by facilitator and validated by Focal Point</a:t>
          </a:r>
          <a:endParaRPr lang="en-GB" sz="1000" b="1"/>
        </a:p>
      </dgm:t>
    </dgm:pt>
    <dgm:pt modelId="{5BF69FCB-E949-46B1-A512-38816D1EB2F5}" type="parTrans" cxnId="{356BCB7F-614F-4D2C-8D29-39171EAEA64C}">
      <dgm:prSet/>
      <dgm:spPr/>
      <dgm:t>
        <a:bodyPr/>
        <a:lstStyle/>
        <a:p>
          <a:endParaRPr lang="en-GB" sz="1000"/>
        </a:p>
      </dgm:t>
    </dgm:pt>
    <dgm:pt modelId="{5042B602-4127-4590-BCFD-C635208423AF}" type="sibTrans" cxnId="{356BCB7F-614F-4D2C-8D29-39171EAEA64C}">
      <dgm:prSet custT="1"/>
      <dgm:spPr>
        <a:solidFill>
          <a:schemeClr val="accent1"/>
        </a:solidFill>
      </dgm:spPr>
      <dgm:t>
        <a:bodyPr/>
        <a:lstStyle/>
        <a:p>
          <a:endParaRPr lang="en-GB" sz="1000"/>
        </a:p>
      </dgm:t>
    </dgm:pt>
    <dgm:pt modelId="{7C9296BA-AA9D-443C-9817-A962254E2EE5}">
      <dgm:prSet phldrT="[Text]" custT="1"/>
      <dgm:spPr>
        <a:solidFill>
          <a:schemeClr val="accent4"/>
        </a:solidFill>
      </dgm:spPr>
      <dgm:t>
        <a:bodyPr/>
        <a:lstStyle/>
        <a:p>
          <a:pPr algn="l"/>
          <a:r>
            <a:rPr lang="en-GB" sz="1000" b="1"/>
            <a:t>Final version</a:t>
          </a:r>
        </a:p>
        <a:p>
          <a:pPr algn="l"/>
          <a:r>
            <a:rPr lang="en-GB" sz="1000"/>
            <a:t>Multi-stakeholder workshop to reach final agreement. Focal Point submits final survey to UNEP after the workshop</a:t>
          </a:r>
          <a:endParaRPr lang="en-GB" sz="1000" b="1"/>
        </a:p>
      </dgm:t>
    </dgm:pt>
    <dgm:pt modelId="{28A98BC8-CFC9-4774-90E6-4A51E39330DD}" type="parTrans" cxnId="{1AA1B276-8874-4957-BB29-A1E0C5098948}">
      <dgm:prSet/>
      <dgm:spPr/>
      <dgm:t>
        <a:bodyPr/>
        <a:lstStyle/>
        <a:p>
          <a:endParaRPr lang="en-GB" sz="1000"/>
        </a:p>
      </dgm:t>
    </dgm:pt>
    <dgm:pt modelId="{B5551ABB-F1FB-496D-ABFA-79263C1E1800}" type="sibTrans" cxnId="{1AA1B276-8874-4957-BB29-A1E0C5098948}">
      <dgm:prSet/>
      <dgm:spPr/>
      <dgm:t>
        <a:bodyPr/>
        <a:lstStyle/>
        <a:p>
          <a:endParaRPr lang="en-GB" sz="1000"/>
        </a:p>
      </dgm:t>
    </dgm:pt>
    <dgm:pt modelId="{95303720-DC00-4184-9914-47E9B7FC6B9C}" type="pres">
      <dgm:prSet presAssocID="{2D0BD744-3615-4BCA-8C0A-412A5BF015F9}" presName="Name0" presStyleCnt="0">
        <dgm:presLayoutVars>
          <dgm:dir/>
          <dgm:resizeHandles val="exact"/>
        </dgm:presLayoutVars>
      </dgm:prSet>
      <dgm:spPr/>
    </dgm:pt>
    <dgm:pt modelId="{5DE075F4-6618-4A25-93FF-68F10B971C48}" type="pres">
      <dgm:prSet presAssocID="{E74613DA-E57C-4ACF-8C3A-30BDA202F6F6}" presName="node" presStyleLbl="node1" presStyleIdx="0" presStyleCnt="3" custScaleX="151123">
        <dgm:presLayoutVars>
          <dgm:bulletEnabled val="1"/>
        </dgm:presLayoutVars>
      </dgm:prSet>
      <dgm:spPr/>
    </dgm:pt>
    <dgm:pt modelId="{4C1BC733-799C-4A6D-88F7-376A970224E8}" type="pres">
      <dgm:prSet presAssocID="{8FB34983-0770-4370-90C7-5AD25DC70386}" presName="sibTrans" presStyleLbl="sibTrans2D1" presStyleIdx="0" presStyleCnt="2"/>
      <dgm:spPr/>
    </dgm:pt>
    <dgm:pt modelId="{92D40E60-81FD-4FC0-B035-E58DAEA04CC8}" type="pres">
      <dgm:prSet presAssocID="{8FB34983-0770-4370-90C7-5AD25DC70386}" presName="connectorText" presStyleLbl="sibTrans2D1" presStyleIdx="0" presStyleCnt="2"/>
      <dgm:spPr/>
    </dgm:pt>
    <dgm:pt modelId="{7D7307A3-40CC-4E97-B4D9-9AE2F9F18B32}" type="pres">
      <dgm:prSet presAssocID="{73E5205E-D736-45DA-86E9-8DD98D487B14}" presName="node" presStyleLbl="node1" presStyleIdx="1" presStyleCnt="3">
        <dgm:presLayoutVars>
          <dgm:bulletEnabled val="1"/>
        </dgm:presLayoutVars>
      </dgm:prSet>
      <dgm:spPr/>
    </dgm:pt>
    <dgm:pt modelId="{DC697EDE-1335-41C4-871E-62F69240759C}" type="pres">
      <dgm:prSet presAssocID="{5042B602-4127-4590-BCFD-C635208423AF}" presName="sibTrans" presStyleLbl="sibTrans2D1" presStyleIdx="1" presStyleCnt="2"/>
      <dgm:spPr/>
    </dgm:pt>
    <dgm:pt modelId="{A264D7E8-C3ED-4794-9EC3-6AB8F21168E5}" type="pres">
      <dgm:prSet presAssocID="{5042B602-4127-4590-BCFD-C635208423AF}" presName="connectorText" presStyleLbl="sibTrans2D1" presStyleIdx="1" presStyleCnt="2"/>
      <dgm:spPr/>
    </dgm:pt>
    <dgm:pt modelId="{7643648B-9D7B-4117-898A-01C197787E58}" type="pres">
      <dgm:prSet presAssocID="{7C9296BA-AA9D-443C-9817-A962254E2EE5}" presName="node" presStyleLbl="node1" presStyleIdx="2" presStyleCnt="3">
        <dgm:presLayoutVars>
          <dgm:bulletEnabled val="1"/>
        </dgm:presLayoutVars>
      </dgm:prSet>
      <dgm:spPr/>
    </dgm:pt>
  </dgm:ptLst>
  <dgm:cxnLst>
    <dgm:cxn modelId="{D9399C00-1BA1-469F-B591-58A6A67E0F54}" type="presOf" srcId="{8FB34983-0770-4370-90C7-5AD25DC70386}" destId="{92D40E60-81FD-4FC0-B035-E58DAEA04CC8}" srcOrd="1" destOrd="0" presId="urn:microsoft.com/office/officeart/2005/8/layout/process1"/>
    <dgm:cxn modelId="{F1051338-3EC4-43A7-9E80-6C89D84B4E37}" type="presOf" srcId="{2D0BD744-3615-4BCA-8C0A-412A5BF015F9}" destId="{95303720-DC00-4184-9914-47E9B7FC6B9C}" srcOrd="0" destOrd="0" presId="urn:microsoft.com/office/officeart/2005/8/layout/process1"/>
    <dgm:cxn modelId="{734A353D-B5E5-4931-B4F1-E8220CE0FFE7}" type="presOf" srcId="{5042B602-4127-4590-BCFD-C635208423AF}" destId="{A264D7E8-C3ED-4794-9EC3-6AB8F21168E5}" srcOrd="1" destOrd="0" presId="urn:microsoft.com/office/officeart/2005/8/layout/process1"/>
    <dgm:cxn modelId="{AD7C1949-9881-4D70-8184-44948477DB7F}" srcId="{2D0BD744-3615-4BCA-8C0A-412A5BF015F9}" destId="{E74613DA-E57C-4ACF-8C3A-30BDA202F6F6}" srcOrd="0" destOrd="0" parTransId="{F2293A8F-4259-475B-8E8D-36FA078225AA}" sibTransId="{8FB34983-0770-4370-90C7-5AD25DC70386}"/>
    <dgm:cxn modelId="{758B994C-82CD-42D4-9B96-9DD9BADAFC20}" type="presOf" srcId="{73E5205E-D736-45DA-86E9-8DD98D487B14}" destId="{7D7307A3-40CC-4E97-B4D9-9AE2F9F18B32}" srcOrd="0" destOrd="0" presId="urn:microsoft.com/office/officeart/2005/8/layout/process1"/>
    <dgm:cxn modelId="{0330F94E-304E-4F5A-A664-C8A08FAF01BC}" type="presOf" srcId="{7C9296BA-AA9D-443C-9817-A962254E2EE5}" destId="{7643648B-9D7B-4117-898A-01C197787E58}" srcOrd="0" destOrd="0" presId="urn:microsoft.com/office/officeart/2005/8/layout/process1"/>
    <dgm:cxn modelId="{1AA1B276-8874-4957-BB29-A1E0C5098948}" srcId="{2D0BD744-3615-4BCA-8C0A-412A5BF015F9}" destId="{7C9296BA-AA9D-443C-9817-A962254E2EE5}" srcOrd="2" destOrd="0" parTransId="{28A98BC8-CFC9-4774-90E6-4A51E39330DD}" sibTransId="{B5551ABB-F1FB-496D-ABFA-79263C1E1800}"/>
    <dgm:cxn modelId="{356BCB7F-614F-4D2C-8D29-39171EAEA64C}" srcId="{2D0BD744-3615-4BCA-8C0A-412A5BF015F9}" destId="{73E5205E-D736-45DA-86E9-8DD98D487B14}" srcOrd="1" destOrd="0" parTransId="{5BF69FCB-E949-46B1-A512-38816D1EB2F5}" sibTransId="{5042B602-4127-4590-BCFD-C635208423AF}"/>
    <dgm:cxn modelId="{0C23A282-9FA7-4280-A154-460D8FC82A21}" type="presOf" srcId="{E74613DA-E57C-4ACF-8C3A-30BDA202F6F6}" destId="{5DE075F4-6618-4A25-93FF-68F10B971C48}" srcOrd="0" destOrd="0" presId="urn:microsoft.com/office/officeart/2005/8/layout/process1"/>
    <dgm:cxn modelId="{30D18A84-DFF8-4091-B711-19FF381950E7}" type="presOf" srcId="{5042B602-4127-4590-BCFD-C635208423AF}" destId="{DC697EDE-1335-41C4-871E-62F69240759C}" srcOrd="0" destOrd="0" presId="urn:microsoft.com/office/officeart/2005/8/layout/process1"/>
    <dgm:cxn modelId="{ADDDB4AF-9E85-4921-A84A-4E30A262B177}" type="presOf" srcId="{8FB34983-0770-4370-90C7-5AD25DC70386}" destId="{4C1BC733-799C-4A6D-88F7-376A970224E8}" srcOrd="0" destOrd="0" presId="urn:microsoft.com/office/officeart/2005/8/layout/process1"/>
    <dgm:cxn modelId="{B8811034-4697-4E3F-999B-B2EE5FD85570}" type="presParOf" srcId="{95303720-DC00-4184-9914-47E9B7FC6B9C}" destId="{5DE075F4-6618-4A25-93FF-68F10B971C48}" srcOrd="0" destOrd="0" presId="urn:microsoft.com/office/officeart/2005/8/layout/process1"/>
    <dgm:cxn modelId="{A9F05E94-58BC-45CB-AD34-9A4742BB8E5B}" type="presParOf" srcId="{95303720-DC00-4184-9914-47E9B7FC6B9C}" destId="{4C1BC733-799C-4A6D-88F7-376A970224E8}" srcOrd="1" destOrd="0" presId="urn:microsoft.com/office/officeart/2005/8/layout/process1"/>
    <dgm:cxn modelId="{1311C997-5BEB-4179-B17E-1A4894BAC761}" type="presParOf" srcId="{4C1BC733-799C-4A6D-88F7-376A970224E8}" destId="{92D40E60-81FD-4FC0-B035-E58DAEA04CC8}" srcOrd="0" destOrd="0" presId="urn:microsoft.com/office/officeart/2005/8/layout/process1"/>
    <dgm:cxn modelId="{909C0EBE-DD98-4829-84DB-52B07F36EDA9}" type="presParOf" srcId="{95303720-DC00-4184-9914-47E9B7FC6B9C}" destId="{7D7307A3-40CC-4E97-B4D9-9AE2F9F18B32}" srcOrd="2" destOrd="0" presId="urn:microsoft.com/office/officeart/2005/8/layout/process1"/>
    <dgm:cxn modelId="{55D6691B-325F-46E8-BD0D-0B46C2E05547}" type="presParOf" srcId="{95303720-DC00-4184-9914-47E9B7FC6B9C}" destId="{DC697EDE-1335-41C4-871E-62F69240759C}" srcOrd="3" destOrd="0" presId="urn:microsoft.com/office/officeart/2005/8/layout/process1"/>
    <dgm:cxn modelId="{CA6C54B7-6A28-4FA1-9635-414DF6E11D81}" type="presParOf" srcId="{DC697EDE-1335-41C4-871E-62F69240759C}" destId="{A264D7E8-C3ED-4794-9EC3-6AB8F21168E5}" srcOrd="0" destOrd="0" presId="urn:microsoft.com/office/officeart/2005/8/layout/process1"/>
    <dgm:cxn modelId="{A54B3F86-6A51-452E-A1C4-393D27885566}" type="presParOf" srcId="{95303720-DC00-4184-9914-47E9B7FC6B9C}" destId="{7643648B-9D7B-4117-898A-01C197787E58}" srcOrd="4" destOrd="0" presId="urn:microsoft.com/office/officeart/2005/8/layout/process1"/>
  </dgm:cxnLst>
  <dgm:bg/>
  <dgm:whole/>
  <dgm:extLst>
    <a:ext uri="http://schemas.microsoft.com/office/drawing/2008/diagram">
      <dsp:dataModelExt xmlns:dsp="http://schemas.microsoft.com/office/drawing/2008/diagram" relId="rId4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F55C601-19C5-4573-83E7-37B8EEC82D47}">
      <dsp:nvSpPr>
        <dsp:cNvPr id="0" name=""/>
        <dsp:cNvSpPr/>
      </dsp:nvSpPr>
      <dsp:spPr>
        <a:xfrm>
          <a:off x="2643" y="230387"/>
          <a:ext cx="1538875" cy="615550"/>
        </a:xfrm>
        <a:prstGeom prst="chevron">
          <a:avLst/>
        </a:prstGeom>
        <a:solidFill>
          <a:schemeClr val="accent1"/>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52007" tIns="17336" rIns="17336" bIns="17336" numCol="1" spcCol="1270" anchor="ctr" anchorCtr="0">
          <a:noAutofit/>
        </a:bodyPr>
        <a:lstStyle/>
        <a:p>
          <a:pPr marL="0" lvl="0" indent="0" algn="ctr" defTabSz="577850">
            <a:lnSpc>
              <a:spcPct val="90000"/>
            </a:lnSpc>
            <a:spcBef>
              <a:spcPct val="0"/>
            </a:spcBef>
            <a:spcAft>
              <a:spcPct val="35000"/>
            </a:spcAft>
            <a:buNone/>
          </a:pPr>
          <a:r>
            <a:rPr lang="en-US" sz="1300" kern="1200">
              <a:solidFill>
                <a:sysClr val="window" lastClr="FFFFFF"/>
              </a:solidFill>
              <a:latin typeface="Calibri" panose="020F0502020204030204"/>
              <a:ea typeface="+mn-ea"/>
              <a:cs typeface="+mn-cs"/>
            </a:rPr>
            <a:t>Preparation</a:t>
          </a:r>
        </a:p>
      </dsp:txBody>
      <dsp:txXfrm>
        <a:off x="310418" y="230387"/>
        <a:ext cx="923325" cy="615550"/>
      </dsp:txXfrm>
    </dsp:sp>
    <dsp:sp modelId="{20EDB000-4296-4EA4-969F-A501FBE509BF}">
      <dsp:nvSpPr>
        <dsp:cNvPr id="0" name=""/>
        <dsp:cNvSpPr/>
      </dsp:nvSpPr>
      <dsp:spPr>
        <a:xfrm>
          <a:off x="1387631" y="230387"/>
          <a:ext cx="1538875" cy="615550"/>
        </a:xfrm>
        <a:prstGeom prst="chevron">
          <a:avLst/>
        </a:prstGeom>
        <a:solidFill>
          <a:schemeClr val="accent2"/>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52007" tIns="17336" rIns="17336" bIns="17336" numCol="1" spcCol="1270" anchor="ctr" anchorCtr="0">
          <a:noAutofit/>
        </a:bodyPr>
        <a:lstStyle/>
        <a:p>
          <a:pPr marL="0" lvl="0" indent="0" algn="ctr" defTabSz="577850">
            <a:lnSpc>
              <a:spcPct val="90000"/>
            </a:lnSpc>
            <a:spcBef>
              <a:spcPct val="0"/>
            </a:spcBef>
            <a:spcAft>
              <a:spcPct val="35000"/>
            </a:spcAft>
            <a:buNone/>
          </a:pPr>
          <a:r>
            <a:rPr lang="en-US" sz="1300" kern="1200">
              <a:solidFill>
                <a:sysClr val="window" lastClr="FFFFFF"/>
              </a:solidFill>
              <a:latin typeface="Calibri" panose="020F0502020204030204"/>
              <a:ea typeface="+mn-ea"/>
              <a:cs typeface="+mn-cs"/>
            </a:rPr>
            <a:t>Consultation</a:t>
          </a:r>
        </a:p>
      </dsp:txBody>
      <dsp:txXfrm>
        <a:off x="1695406" y="230387"/>
        <a:ext cx="923325" cy="615550"/>
      </dsp:txXfrm>
    </dsp:sp>
    <dsp:sp modelId="{5E8CB7E8-80D3-45DE-AA24-AB9F0929B6D8}">
      <dsp:nvSpPr>
        <dsp:cNvPr id="0" name=""/>
        <dsp:cNvSpPr/>
      </dsp:nvSpPr>
      <dsp:spPr>
        <a:xfrm>
          <a:off x="2772618" y="230387"/>
          <a:ext cx="1538875" cy="615550"/>
        </a:xfrm>
        <a:prstGeom prst="chevron">
          <a:avLst/>
        </a:prstGeom>
        <a:solidFill>
          <a:schemeClr val="accent3"/>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52007" tIns="17336" rIns="17336" bIns="17336" numCol="1" spcCol="1270" anchor="ctr" anchorCtr="0">
          <a:noAutofit/>
        </a:bodyPr>
        <a:lstStyle/>
        <a:p>
          <a:pPr marL="0" lvl="0" indent="0" algn="ctr" defTabSz="577850">
            <a:lnSpc>
              <a:spcPct val="90000"/>
            </a:lnSpc>
            <a:spcBef>
              <a:spcPct val="0"/>
            </a:spcBef>
            <a:spcAft>
              <a:spcPct val="35000"/>
            </a:spcAft>
            <a:buNone/>
          </a:pPr>
          <a:r>
            <a:rPr lang="en-US" sz="1300" kern="1200">
              <a:solidFill>
                <a:sysClr val="window" lastClr="FFFFFF"/>
              </a:solidFill>
              <a:latin typeface="Calibri" panose="020F0502020204030204"/>
              <a:ea typeface="+mn-ea"/>
              <a:cs typeface="+mn-cs"/>
            </a:rPr>
            <a:t>Submission</a:t>
          </a:r>
        </a:p>
      </dsp:txBody>
      <dsp:txXfrm>
        <a:off x="3080393" y="230387"/>
        <a:ext cx="923325" cy="615550"/>
      </dsp:txXfrm>
    </dsp:sp>
    <dsp:sp modelId="{C7325324-0314-4D59-B2B8-17C9B2BF1837}">
      <dsp:nvSpPr>
        <dsp:cNvPr id="0" name=""/>
        <dsp:cNvSpPr/>
      </dsp:nvSpPr>
      <dsp:spPr>
        <a:xfrm>
          <a:off x="4157606" y="230387"/>
          <a:ext cx="1538875" cy="615550"/>
        </a:xfrm>
        <a:prstGeom prst="chevron">
          <a:avLst/>
        </a:prstGeom>
        <a:solidFill>
          <a:schemeClr val="accent4"/>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52007" tIns="17336" rIns="17336" bIns="17336" numCol="1" spcCol="1270" anchor="ctr" anchorCtr="0">
          <a:noAutofit/>
        </a:bodyPr>
        <a:lstStyle/>
        <a:p>
          <a:pPr marL="0" lvl="0" indent="0" algn="ctr" defTabSz="577850">
            <a:lnSpc>
              <a:spcPct val="90000"/>
            </a:lnSpc>
            <a:spcBef>
              <a:spcPct val="0"/>
            </a:spcBef>
            <a:spcAft>
              <a:spcPct val="35000"/>
            </a:spcAft>
            <a:buNone/>
          </a:pPr>
          <a:r>
            <a:rPr lang="en-US" sz="1300" kern="1200">
              <a:solidFill>
                <a:sysClr val="window" lastClr="FFFFFF"/>
              </a:solidFill>
              <a:latin typeface="Calibri" panose="020F0502020204030204"/>
              <a:ea typeface="+mn-ea"/>
              <a:cs typeface="+mn-cs"/>
            </a:rPr>
            <a:t>Follow-up</a:t>
          </a:r>
        </a:p>
      </dsp:txBody>
      <dsp:txXfrm>
        <a:off x="4465381" y="230387"/>
        <a:ext cx="923325" cy="615550"/>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BC8D991-4B4B-44EB-B627-8305834F9F32}">
      <dsp:nvSpPr>
        <dsp:cNvPr id="0" name=""/>
        <dsp:cNvSpPr/>
      </dsp:nvSpPr>
      <dsp:spPr>
        <a:xfrm>
          <a:off x="3769" y="0"/>
          <a:ext cx="1373338" cy="1283335"/>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Draft 1</a:t>
          </a:r>
        </a:p>
        <a:p>
          <a:pPr marL="0" lvl="0" indent="0" algn="l" defTabSz="444500">
            <a:lnSpc>
              <a:spcPct val="90000"/>
            </a:lnSpc>
            <a:spcBef>
              <a:spcPct val="0"/>
            </a:spcBef>
            <a:spcAft>
              <a:spcPct val="35000"/>
            </a:spcAft>
            <a:buNone/>
          </a:pPr>
          <a:r>
            <a:rPr lang="en-GB" sz="1000" kern="1200"/>
            <a:t>Core Team (e.g. SDG 6.5.1. Focal Point, Facilitator, government representatives) reviews survey</a:t>
          </a:r>
          <a:endParaRPr lang="en-GB" sz="1000" b="1" kern="1200"/>
        </a:p>
      </dsp:txBody>
      <dsp:txXfrm>
        <a:off x="41357" y="37588"/>
        <a:ext cx="1298162" cy="1208159"/>
      </dsp:txXfrm>
    </dsp:sp>
    <dsp:sp modelId="{D7483DED-499F-4752-9B30-9CF0B7D7CC19}">
      <dsp:nvSpPr>
        <dsp:cNvPr id="0" name=""/>
        <dsp:cNvSpPr/>
      </dsp:nvSpPr>
      <dsp:spPr>
        <a:xfrm>
          <a:off x="1480695" y="513220"/>
          <a:ext cx="219603" cy="256894"/>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1480695" y="564599"/>
        <a:ext cx="153722" cy="154136"/>
      </dsp:txXfrm>
    </dsp:sp>
    <dsp:sp modelId="{40FD5823-DB41-4DD3-8B52-F04F6C7723E2}">
      <dsp:nvSpPr>
        <dsp:cNvPr id="0" name=""/>
        <dsp:cNvSpPr/>
      </dsp:nvSpPr>
      <dsp:spPr>
        <a:xfrm>
          <a:off x="1791454" y="0"/>
          <a:ext cx="1035864" cy="1283335"/>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Draft 2</a:t>
          </a:r>
        </a:p>
        <a:p>
          <a:pPr marL="0" lvl="0" indent="0" algn="l" defTabSz="444500">
            <a:lnSpc>
              <a:spcPct val="90000"/>
            </a:lnSpc>
            <a:spcBef>
              <a:spcPct val="0"/>
            </a:spcBef>
            <a:spcAft>
              <a:spcPct val="35000"/>
            </a:spcAft>
            <a:buNone/>
          </a:pPr>
          <a:r>
            <a:rPr lang="en-GB" sz="1000" kern="1200"/>
            <a:t>Government stakeholders review survey</a:t>
          </a:r>
          <a:endParaRPr lang="en-GB" sz="1000" b="1" kern="1200"/>
        </a:p>
      </dsp:txBody>
      <dsp:txXfrm>
        <a:off x="1821793" y="30339"/>
        <a:ext cx="975186" cy="1222657"/>
      </dsp:txXfrm>
    </dsp:sp>
    <dsp:sp modelId="{879FC769-7A97-43A8-A9E6-BB8F0E5787DD}">
      <dsp:nvSpPr>
        <dsp:cNvPr id="0" name=""/>
        <dsp:cNvSpPr/>
      </dsp:nvSpPr>
      <dsp:spPr>
        <a:xfrm>
          <a:off x="2930905" y="513220"/>
          <a:ext cx="219603" cy="256894"/>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2930905" y="564599"/>
        <a:ext cx="153722" cy="154136"/>
      </dsp:txXfrm>
    </dsp:sp>
    <dsp:sp modelId="{8CBE17A1-7A2A-4296-B876-7907D01B6AE1}">
      <dsp:nvSpPr>
        <dsp:cNvPr id="0" name=""/>
        <dsp:cNvSpPr/>
      </dsp:nvSpPr>
      <dsp:spPr>
        <a:xfrm>
          <a:off x="3241665" y="0"/>
          <a:ext cx="1035864" cy="1283335"/>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Draft 3</a:t>
          </a:r>
        </a:p>
        <a:p>
          <a:pPr marL="0" lvl="0" indent="0" algn="l" defTabSz="444500">
            <a:lnSpc>
              <a:spcPct val="90000"/>
            </a:lnSpc>
            <a:spcBef>
              <a:spcPct val="0"/>
            </a:spcBef>
            <a:spcAft>
              <a:spcPct val="35000"/>
            </a:spcAft>
            <a:buNone/>
          </a:pPr>
          <a:r>
            <a:rPr lang="en-GB" sz="1000" kern="1200"/>
            <a:t>Multi-stakeholder workshop to review/ validate survey</a:t>
          </a:r>
          <a:endParaRPr lang="en-GB" sz="1000" b="1" kern="1200"/>
        </a:p>
      </dsp:txBody>
      <dsp:txXfrm>
        <a:off x="3272004" y="30339"/>
        <a:ext cx="975186" cy="1222657"/>
      </dsp:txXfrm>
    </dsp:sp>
    <dsp:sp modelId="{9792789E-098B-4677-AD90-E5C598FCD7AA}">
      <dsp:nvSpPr>
        <dsp:cNvPr id="0" name=""/>
        <dsp:cNvSpPr/>
      </dsp:nvSpPr>
      <dsp:spPr>
        <a:xfrm>
          <a:off x="4381116" y="513220"/>
          <a:ext cx="219603" cy="256894"/>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4381116" y="564599"/>
        <a:ext cx="153722" cy="154136"/>
      </dsp:txXfrm>
    </dsp:sp>
    <dsp:sp modelId="{98D2D1EA-B460-4EE4-AE18-2E67D77A6BCC}">
      <dsp:nvSpPr>
        <dsp:cNvPr id="0" name=""/>
        <dsp:cNvSpPr/>
      </dsp:nvSpPr>
      <dsp:spPr>
        <a:xfrm>
          <a:off x="4691875" y="0"/>
          <a:ext cx="1035864" cy="1283335"/>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Final version</a:t>
          </a:r>
        </a:p>
        <a:p>
          <a:pPr marL="0" lvl="0" indent="0" algn="l" defTabSz="444500">
            <a:lnSpc>
              <a:spcPct val="90000"/>
            </a:lnSpc>
            <a:spcBef>
              <a:spcPct val="0"/>
            </a:spcBef>
            <a:spcAft>
              <a:spcPct val="35000"/>
            </a:spcAft>
            <a:buNone/>
          </a:pPr>
          <a:r>
            <a:rPr lang="en-GB" sz="1000" kern="1200"/>
            <a:t>Core Team reviews input and finalises survey. Focal Point submits final version to UNEP</a:t>
          </a:r>
          <a:endParaRPr lang="en-GB" sz="1000" b="1" kern="1200"/>
        </a:p>
      </dsp:txBody>
      <dsp:txXfrm>
        <a:off x="4722214" y="30339"/>
        <a:ext cx="975186" cy="1222657"/>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DE075F4-6618-4A25-93FF-68F10B971C48}">
      <dsp:nvSpPr>
        <dsp:cNvPr id="0" name=""/>
        <dsp:cNvSpPr/>
      </dsp:nvSpPr>
      <dsp:spPr>
        <a:xfrm>
          <a:off x="226" y="63875"/>
          <a:ext cx="1966189" cy="1179713"/>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Individual survey responses</a:t>
          </a:r>
        </a:p>
        <a:p>
          <a:pPr marL="0" lvl="0" indent="0" algn="l" defTabSz="444500">
            <a:lnSpc>
              <a:spcPct val="90000"/>
            </a:lnSpc>
            <a:spcBef>
              <a:spcPct val="0"/>
            </a:spcBef>
            <a:spcAft>
              <a:spcPct val="35000"/>
            </a:spcAft>
            <a:buNone/>
          </a:pPr>
          <a:r>
            <a:rPr lang="en-GB" sz="1000" b="0" kern="1200"/>
            <a:t>Each stakeholder or stakeholder group completes the survey separately </a:t>
          </a:r>
          <a:endParaRPr lang="en-GB" sz="1000" b="1" kern="1200"/>
        </a:p>
      </dsp:txBody>
      <dsp:txXfrm>
        <a:off x="34779" y="98428"/>
        <a:ext cx="1897083" cy="1110607"/>
      </dsp:txXfrm>
    </dsp:sp>
    <dsp:sp modelId="{4C1BC733-799C-4A6D-88F7-376A970224E8}">
      <dsp:nvSpPr>
        <dsp:cNvPr id="0" name=""/>
        <dsp:cNvSpPr/>
      </dsp:nvSpPr>
      <dsp:spPr>
        <a:xfrm>
          <a:off x="2096521" y="492401"/>
          <a:ext cx="275823" cy="322660"/>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2096521" y="556933"/>
        <a:ext cx="193076" cy="193596"/>
      </dsp:txXfrm>
    </dsp:sp>
    <dsp:sp modelId="{7D7307A3-40CC-4E97-B4D9-9AE2F9F18B32}">
      <dsp:nvSpPr>
        <dsp:cNvPr id="0" name=""/>
        <dsp:cNvSpPr/>
      </dsp:nvSpPr>
      <dsp:spPr>
        <a:xfrm>
          <a:off x="2486837" y="63875"/>
          <a:ext cx="1301052" cy="1179713"/>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Draft 1</a:t>
          </a:r>
        </a:p>
        <a:p>
          <a:pPr marL="0" lvl="0" indent="0" algn="l" defTabSz="444500">
            <a:lnSpc>
              <a:spcPct val="90000"/>
            </a:lnSpc>
            <a:spcBef>
              <a:spcPct val="0"/>
            </a:spcBef>
            <a:spcAft>
              <a:spcPct val="35000"/>
            </a:spcAft>
            <a:buNone/>
          </a:pPr>
          <a:r>
            <a:rPr lang="en-GB" sz="1000" kern="1200"/>
            <a:t>Compiled answers, prepared by facilitator and validated by Focal Point</a:t>
          </a:r>
          <a:endParaRPr lang="en-GB" sz="1000" b="1" kern="1200"/>
        </a:p>
      </dsp:txBody>
      <dsp:txXfrm>
        <a:off x="2521390" y="98428"/>
        <a:ext cx="1231946" cy="1110607"/>
      </dsp:txXfrm>
    </dsp:sp>
    <dsp:sp modelId="{DC697EDE-1335-41C4-871E-62F69240759C}">
      <dsp:nvSpPr>
        <dsp:cNvPr id="0" name=""/>
        <dsp:cNvSpPr/>
      </dsp:nvSpPr>
      <dsp:spPr>
        <a:xfrm>
          <a:off x="3917994" y="492401"/>
          <a:ext cx="275823" cy="322660"/>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3917994" y="556933"/>
        <a:ext cx="193076" cy="193596"/>
      </dsp:txXfrm>
    </dsp:sp>
    <dsp:sp modelId="{7643648B-9D7B-4117-898A-01C197787E58}">
      <dsp:nvSpPr>
        <dsp:cNvPr id="0" name=""/>
        <dsp:cNvSpPr/>
      </dsp:nvSpPr>
      <dsp:spPr>
        <a:xfrm>
          <a:off x="4308310" y="63875"/>
          <a:ext cx="1301052" cy="1179713"/>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Final version</a:t>
          </a:r>
        </a:p>
        <a:p>
          <a:pPr marL="0" lvl="0" indent="0" algn="l" defTabSz="444500">
            <a:lnSpc>
              <a:spcPct val="90000"/>
            </a:lnSpc>
            <a:spcBef>
              <a:spcPct val="0"/>
            </a:spcBef>
            <a:spcAft>
              <a:spcPct val="35000"/>
            </a:spcAft>
            <a:buNone/>
          </a:pPr>
          <a:r>
            <a:rPr lang="en-GB" sz="1000" kern="1200"/>
            <a:t>Multi-stakeholder workshop to reach final agreement. Focal Point submits final survey to UNEP after the workshop</a:t>
          </a:r>
          <a:endParaRPr lang="en-GB" sz="1000" b="1" kern="1200"/>
        </a:p>
      </dsp:txBody>
      <dsp:txXfrm>
        <a:off x="4342863" y="98428"/>
        <a:ext cx="1231946" cy="1110607"/>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2.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9697B0-853B-4339-ADB4-5676BB1E46FE}"/>
</file>

<file path=customXml/itemProps2.xml><?xml version="1.0" encoding="utf-8"?>
<ds:datastoreItem xmlns:ds="http://schemas.openxmlformats.org/officeDocument/2006/customXml" ds:itemID="{3B3BAE21-D7A3-452A-A6A0-126F8D8DF3E8}">
  <ds:schemaRefs>
    <ds:schemaRef ds:uri="http://schemas.microsoft.com/sharepoint/v3/contenttype/forms"/>
  </ds:schemaRefs>
</ds:datastoreItem>
</file>

<file path=customXml/itemProps3.xml><?xml version="1.0" encoding="utf-8"?>
<ds:datastoreItem xmlns:ds="http://schemas.openxmlformats.org/officeDocument/2006/customXml" ds:itemID="{699AD4B9-EB4D-42B0-86D0-D4FCA36EB75C}">
  <ds:schemaRefs>
    <ds:schemaRef ds:uri="http://www.w3.org/XML/1998/namespace"/>
    <ds:schemaRef ds:uri="http://purl.org/dc/elements/1.1/"/>
    <ds:schemaRef ds:uri="http://purl.org/dc/dcmitype/"/>
    <ds:schemaRef ds:uri="http://schemas.microsoft.com/office/2006/documentManagement/types"/>
    <ds:schemaRef ds:uri="http://schemas.microsoft.com/office/2006/metadata/properties"/>
    <ds:schemaRef ds:uri="5e01a736-1b88-436b-a44b-5245e0be4ab3"/>
    <ds:schemaRef ds:uri="http://purl.org/dc/terms/"/>
    <ds:schemaRef ds:uri="http://schemas.openxmlformats.org/package/2006/metadata/core-properties"/>
    <ds:schemaRef ds:uri="http://schemas.microsoft.com/office/infopath/2007/PartnerControls"/>
    <ds:schemaRef ds:uri="73aa4948-b2bb-4bb6-a4ce-3dbfd67606c8"/>
  </ds:schemaRefs>
</ds:datastoreItem>
</file>

<file path=customXml/itemProps4.xml><?xml version="1.0" encoding="utf-8"?>
<ds:datastoreItem xmlns:ds="http://schemas.openxmlformats.org/officeDocument/2006/customXml" ds:itemID="{136865E1-EF8B-491D-85B6-DD6A8A4F17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3500</Words>
  <Characters>19950</Characters>
  <Application>Microsoft Office Word</Application>
  <DocSecurity>0</DocSecurity>
  <Lines>166</Lines>
  <Paragraphs>46</Paragraphs>
  <ScaleCrop>false</ScaleCrop>
  <Company/>
  <LinksUpToDate>false</LinksUpToDate>
  <CharactersWithSpaces>23404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2023-04-11T08:21:00Z</dcterms:created>
  <dcterms:modified xsi:type="dcterms:W3CDTF">2023-04-11T08:21:00Z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